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0621" w14:textId="17CF53F3" w:rsidR="00BF2125" w:rsidRPr="004420CF" w:rsidRDefault="00BF2125" w:rsidP="004420CF">
      <w:pPr>
        <w:pStyle w:val="ab"/>
        <w:shd w:val="clear" w:color="auto" w:fill="FFFFFF"/>
        <w:spacing w:before="0" w:beforeAutospacing="0" w:after="0" w:afterAutospacing="0" w:line="360" w:lineRule="auto"/>
        <w:rPr>
          <w:rStyle w:val="ac"/>
          <w:rFonts w:asciiTheme="minorEastAsia" w:eastAsiaTheme="minorEastAsia" w:hAnsiTheme="minorEastAsia" w:cs="Tahoma"/>
          <w:color w:val="333333"/>
        </w:rPr>
      </w:pPr>
      <w:r w:rsidRPr="004420CF">
        <w:rPr>
          <w:rStyle w:val="ac"/>
          <w:rFonts w:asciiTheme="minorEastAsia" w:eastAsiaTheme="minorEastAsia" w:hAnsiTheme="minorEastAsia" w:cs="Tahoma" w:hint="eastAsia"/>
          <w:color w:val="333333"/>
        </w:rPr>
        <w:t>（</w:t>
      </w:r>
      <w:r w:rsidRPr="004420CF">
        <w:rPr>
          <w:rStyle w:val="ac"/>
          <w:rFonts w:asciiTheme="minorEastAsia" w:eastAsiaTheme="minorEastAsia" w:hAnsiTheme="minorEastAsia" w:cs="Tahoma"/>
          <w:color w:val="333333"/>
        </w:rPr>
        <w:t>1）</w:t>
      </w:r>
      <w:r w:rsidR="006105DC" w:rsidRPr="004420CF">
        <w:rPr>
          <w:rStyle w:val="ac"/>
          <w:rFonts w:asciiTheme="minorEastAsia" w:eastAsiaTheme="minorEastAsia" w:hAnsiTheme="minorEastAsia" w:cs="Tahoma" w:hint="eastAsia"/>
          <w:color w:val="333333"/>
        </w:rPr>
        <w:t>项目名称</w:t>
      </w:r>
    </w:p>
    <w:p w14:paraId="42698E3E" w14:textId="77777777" w:rsidR="007848F0" w:rsidRDefault="007848F0" w:rsidP="007848F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rPr>
          <w:rStyle w:val="ac"/>
          <w:rFonts w:asciiTheme="minorEastAsia" w:eastAsiaTheme="minorEastAsia" w:hAnsiTheme="minorEastAsia" w:cs="Tahoma"/>
          <w:b w:val="0"/>
          <w:color w:val="333333"/>
        </w:rPr>
      </w:pPr>
      <w:r w:rsidRPr="007848F0">
        <w:rPr>
          <w:rStyle w:val="ac"/>
          <w:rFonts w:asciiTheme="minorEastAsia" w:eastAsiaTheme="minorEastAsia" w:hAnsiTheme="minorEastAsia" w:cs="Tahoma" w:hint="eastAsia"/>
          <w:b w:val="0"/>
          <w:color w:val="333333"/>
        </w:rPr>
        <w:t>代谢导向的药物靶标发现与机理研究</w:t>
      </w:r>
    </w:p>
    <w:p w14:paraId="39D29E3A" w14:textId="3EAB0848" w:rsidR="00BF2125" w:rsidRPr="004420CF" w:rsidRDefault="00BF2125" w:rsidP="004420CF">
      <w:pPr>
        <w:pStyle w:val="ab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ahoma"/>
          <w:b/>
          <w:color w:val="333333"/>
        </w:rPr>
      </w:pPr>
      <w:r w:rsidRPr="004420CF">
        <w:rPr>
          <w:rStyle w:val="ac"/>
          <w:rFonts w:asciiTheme="minorEastAsia" w:eastAsiaTheme="minorEastAsia" w:hAnsiTheme="minorEastAsia" w:cs="Tahoma" w:hint="eastAsia"/>
          <w:color w:val="333333"/>
        </w:rPr>
        <w:t>（</w:t>
      </w:r>
      <w:r w:rsidRPr="004420CF">
        <w:rPr>
          <w:rStyle w:val="ac"/>
          <w:rFonts w:asciiTheme="minorEastAsia" w:eastAsiaTheme="minorEastAsia" w:hAnsiTheme="minorEastAsia" w:cs="Tahoma"/>
          <w:color w:val="333333"/>
        </w:rPr>
        <w:t>2）提名者及提名等级</w:t>
      </w:r>
    </w:p>
    <w:p w14:paraId="600CFAB9" w14:textId="48517EDB" w:rsidR="00BF2125" w:rsidRPr="004420CF" w:rsidRDefault="00BF2125" w:rsidP="004420CF">
      <w:pPr>
        <w:pStyle w:val="ab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color w:val="333333"/>
        </w:rPr>
      </w:pPr>
      <w:r w:rsidRPr="004420CF">
        <w:rPr>
          <w:rStyle w:val="ac"/>
          <w:rFonts w:asciiTheme="minorEastAsia" w:eastAsiaTheme="minorEastAsia" w:hAnsiTheme="minorEastAsia" w:cs="Tahoma" w:hint="eastAsia"/>
          <w:b w:val="0"/>
          <w:color w:val="333333"/>
        </w:rPr>
        <w:t>提名单位：江苏省</w:t>
      </w:r>
    </w:p>
    <w:p w14:paraId="6CFB7B5F" w14:textId="20E2AD03" w:rsidR="00BF2125" w:rsidRPr="004420CF" w:rsidRDefault="00BF2125" w:rsidP="004420CF">
      <w:pPr>
        <w:pStyle w:val="ab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color w:val="333333"/>
        </w:rPr>
      </w:pPr>
      <w:r w:rsidRPr="004420CF">
        <w:rPr>
          <w:rStyle w:val="ac"/>
          <w:rFonts w:asciiTheme="minorEastAsia" w:eastAsiaTheme="minorEastAsia" w:hAnsiTheme="minorEastAsia" w:cs="Tahoma" w:hint="eastAsia"/>
          <w:b w:val="0"/>
          <w:color w:val="333333"/>
        </w:rPr>
        <w:t>提名等级：国家科学技术自然科学二等奖</w:t>
      </w:r>
    </w:p>
    <w:p w14:paraId="2FEB77CB" w14:textId="379012F9" w:rsidR="0031658A" w:rsidRPr="004420CF" w:rsidRDefault="00BF2125" w:rsidP="004420CF">
      <w:pPr>
        <w:pStyle w:val="ab"/>
        <w:rPr>
          <w:rFonts w:asciiTheme="minorEastAsia" w:hAnsiTheme="minorEastAsia" w:cs="Times New Roman"/>
        </w:rPr>
      </w:pPr>
      <w:r w:rsidRPr="004420CF">
        <w:rPr>
          <w:rStyle w:val="ac"/>
          <w:rFonts w:asciiTheme="minorEastAsia" w:hAnsiTheme="minorEastAsia" w:cs="Tahoma" w:hint="eastAsia"/>
          <w:color w:val="333333"/>
        </w:rPr>
        <w:t>（</w:t>
      </w:r>
      <w:r w:rsidR="00540C44" w:rsidRPr="004420CF">
        <w:rPr>
          <w:rStyle w:val="ac"/>
          <w:rFonts w:asciiTheme="minorEastAsia" w:hAnsiTheme="minorEastAsia" w:cs="Tahoma"/>
          <w:color w:val="333333"/>
        </w:rPr>
        <w:t>3</w:t>
      </w:r>
      <w:r w:rsidRPr="004420CF">
        <w:rPr>
          <w:rStyle w:val="ac"/>
          <w:rFonts w:asciiTheme="minorEastAsia" w:hAnsiTheme="minorEastAsia" w:cs="Tahoma" w:hint="eastAsia"/>
          <w:color w:val="333333"/>
        </w:rPr>
        <w:t>）代表论文目录</w:t>
      </w:r>
    </w:p>
    <w:tbl>
      <w:tblPr>
        <w:tblW w:w="12753" w:type="dxa"/>
        <w:tblLayout w:type="fixed"/>
        <w:tblLook w:val="0000" w:firstRow="0" w:lastRow="0" w:firstColumn="0" w:lastColumn="0" w:noHBand="0" w:noVBand="0"/>
      </w:tblPr>
      <w:tblGrid>
        <w:gridCol w:w="545"/>
        <w:gridCol w:w="5120"/>
        <w:gridCol w:w="993"/>
        <w:gridCol w:w="1417"/>
        <w:gridCol w:w="1134"/>
        <w:gridCol w:w="992"/>
        <w:gridCol w:w="652"/>
        <w:gridCol w:w="908"/>
        <w:gridCol w:w="992"/>
      </w:tblGrid>
      <w:tr w:rsidR="00D41224" w:rsidRPr="006105DC" w14:paraId="3CDEBD48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6B3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757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论文论著名称</w:t>
            </w:r>
          </w:p>
          <w:p w14:paraId="51A492CA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刊名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作者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596" w14:textId="0BE3B886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年卷页码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C0A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发表时间</w:t>
            </w:r>
          </w:p>
          <w:p w14:paraId="7CED3F95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（年月日）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32C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通讯作者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530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第一作者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FA36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他引总次数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230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检索数据库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A98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是否国内期刊</w:t>
            </w:r>
          </w:p>
        </w:tc>
      </w:tr>
      <w:tr w:rsidR="00D41224" w:rsidRPr="006105DC" w14:paraId="411490E8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AEF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C41" w14:textId="7812B0D2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Hlk71209977"/>
            <w:proofErr w:type="spellStart"/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Farnesoid</w:t>
            </w:r>
            <w:proofErr w:type="spellEnd"/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 xml:space="preserve"> X Receptor Regulation of the NLRP3 Inflammasome Underlies Cholestasis-Associated Sepsis/</w:t>
            </w:r>
            <w:bookmarkEnd w:id="0"/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Cell Metab</w:t>
            </w:r>
            <w:r w:rsidR="003B0CBF" w:rsidRPr="004420CF">
              <w:rPr>
                <w:rFonts w:asciiTheme="minorEastAsia" w:hAnsiTheme="minorEastAsia" w:cs="Times New Roman"/>
                <w:sz w:val="24"/>
                <w:szCs w:val="24"/>
              </w:rPr>
              <w:t>olism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 xml:space="preserve">/Hao H#, Cao L#, Jiang C#, Che Y, Zhang S, Takahashi S, Wang G*, 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Gonzalez FJ*.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33C0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2017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 xml:space="preserve"> 25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卷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856-867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3A4B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2017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3EAA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王广基</w:t>
            </w:r>
          </w:p>
          <w:p w14:paraId="3BA2DD6B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Gonzalez FJ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DA8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郝海平</w:t>
            </w:r>
            <w:r w:rsidRPr="004420CF">
              <w:rPr>
                <w:rFonts w:ascii="微软雅黑" w:eastAsia="微软雅黑" w:hAnsi="微软雅黑" w:cs="微软雅黑" w:hint="eastAsia"/>
                <w:sz w:val="24"/>
                <w:szCs w:val="24"/>
              </w:rPr>
              <w:t>､</w:t>
            </w:r>
          </w:p>
          <w:p w14:paraId="3185736E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曹丽娟</w:t>
            </w:r>
            <w:r w:rsidRPr="004420CF">
              <w:rPr>
                <w:rFonts w:ascii="微软雅黑" w:eastAsia="微软雅黑" w:hAnsi="微软雅黑" w:cs="微软雅黑" w:hint="eastAsia"/>
                <w:sz w:val="24"/>
                <w:szCs w:val="24"/>
              </w:rPr>
              <w:t>､</w:t>
            </w:r>
          </w:p>
          <w:p w14:paraId="67A9FDED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姜长涛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B6C" w14:textId="43E5682B" w:rsidR="00E875AE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7E0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Web of Science &amp; CNKI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024" w14:textId="77777777" w:rsidR="00E875AE" w:rsidRPr="004420CF" w:rsidRDefault="00E875AE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否</w:t>
            </w:r>
          </w:p>
        </w:tc>
      </w:tr>
      <w:tr w:rsidR="00D41224" w:rsidRPr="006105DC" w14:paraId="3D27F279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E608" w14:textId="5744EC08" w:rsidR="008329B6" w:rsidRPr="004420CF" w:rsidRDefault="00B16411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695" w14:textId="52DA02FA" w:rsidR="008329B6" w:rsidRPr="004420CF" w:rsidRDefault="008329B6" w:rsidP="004420CF">
            <w:pPr>
              <w:pStyle w:val="TableParagraph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Apaf-1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Pyroptosome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Senses Mitochondrial Permeability Transition/Cell Metabolism/</w:t>
            </w:r>
            <w:r w:rsidRPr="004420CF">
              <w:rPr>
                <w:rFonts w:asciiTheme="minorEastAsia" w:eastAsiaTheme="minorEastAsia" w:hAnsiTheme="minorEastAsia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Xu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Wanfeng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#, Che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Yuan</w:t>
            </w:r>
            <w:proofErr w:type="gram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#,Zhang</w:t>
            </w:r>
            <w:proofErr w:type="spellEnd"/>
            <w:proofErr w:type="gram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Quan ,Huang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Hai,Ding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Chujie,Wang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Yun,Wang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Guangji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, Cao Lijuan *,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Haiping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Hao*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E9F" w14:textId="6A3AE364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Style w:val="cit"/>
                <w:rFonts w:asciiTheme="minorEastAsia" w:hAnsiTheme="minorEastAsia" w:cs="Times New Roman"/>
                <w:sz w:val="24"/>
                <w:szCs w:val="24"/>
              </w:rPr>
              <w:t>2021</w:t>
            </w:r>
            <w:r w:rsidRPr="004420CF">
              <w:rPr>
                <w:rStyle w:val="cit"/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Style w:val="cit"/>
                <w:rFonts w:asciiTheme="minorEastAsia" w:hAnsiTheme="minorEastAsia" w:cs="Times New Roman"/>
                <w:sz w:val="24"/>
                <w:szCs w:val="24"/>
              </w:rPr>
              <w:t>33</w:t>
            </w:r>
            <w:r w:rsidRPr="004420CF">
              <w:rPr>
                <w:rStyle w:val="cit"/>
                <w:rFonts w:asciiTheme="minorEastAsia" w:hAnsiTheme="minorEastAsia" w:cs="Times New Roman" w:hint="eastAsia"/>
                <w:sz w:val="24"/>
                <w:szCs w:val="24"/>
              </w:rPr>
              <w:t>卷</w:t>
            </w:r>
            <w:r w:rsidRPr="004420CF">
              <w:rPr>
                <w:rStyle w:val="cit"/>
                <w:rFonts w:asciiTheme="minorEastAsia" w:hAnsiTheme="minorEastAsia" w:cs="Times New Roman"/>
                <w:sz w:val="24"/>
                <w:szCs w:val="24"/>
              </w:rPr>
              <w:t>424-436</w:t>
            </w:r>
            <w:r w:rsidRPr="004420CF">
              <w:rPr>
                <w:rStyle w:val="cit"/>
                <w:rFonts w:asciiTheme="minorEastAsia" w:hAnsiTheme="minorEastAsia" w:cs="Times New Roman" w:hint="eastAsia"/>
                <w:sz w:val="24"/>
                <w:szCs w:val="24"/>
              </w:rPr>
              <w:t>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6A90" w14:textId="10B103FE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202</w:t>
            </w:r>
            <w:r w:rsidR="003B0CBF" w:rsidRPr="004420CF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3B0CBF"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（在线发表：</w:t>
            </w:r>
            <w:r w:rsidR="003B0CBF" w:rsidRPr="004420CF">
              <w:rPr>
                <w:rFonts w:asciiTheme="minorEastAsia" w:hAnsiTheme="minorEastAsia" w:cs="Times New Roman"/>
                <w:sz w:val="24"/>
                <w:szCs w:val="24"/>
              </w:rPr>
              <w:t>2020</w:t>
            </w:r>
            <w:r w:rsidR="003B0CBF"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3B0CBF" w:rsidRPr="004420CF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 w:rsidR="003B0CBF"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3B0CBF" w:rsidRPr="004420CF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 w:rsidR="003B0CBF"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95E" w14:textId="71F2F293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曹丽娟、郝海平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9EF" w14:textId="507D9475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许万峰、车远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70B" w14:textId="1050E04D" w:rsidR="008329B6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D4D" w14:textId="529D7FDB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Web of Science &amp;CNKI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89FF" w14:textId="494CC6B2" w:rsidR="008329B6" w:rsidRPr="004420CF" w:rsidRDefault="008329B6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否</w:t>
            </w:r>
          </w:p>
        </w:tc>
      </w:tr>
      <w:tr w:rsidR="00D41224" w:rsidRPr="006105DC" w14:paraId="403C2249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5FA" w14:textId="04AC47CA" w:rsidR="003B0CBF" w:rsidRPr="004420CF" w:rsidRDefault="00B16411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046" w14:textId="5996D909" w:rsidR="003B0CBF" w:rsidRPr="004420CF" w:rsidRDefault="003B0CBF" w:rsidP="004420CF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SUMOylation inhibitors synergize with FXR agonists in combating liver fibrosis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/</w:t>
            </w:r>
            <w:hyperlink r:id="rId7" w:history="1">
              <w:r w:rsidRPr="004420CF">
                <w:rPr>
                  <w:rFonts w:asciiTheme="minorEastAsia" w:eastAsiaTheme="minorEastAsia" w:hAnsiTheme="minorEastAsia" w:cs="Times New Roman"/>
                  <w:sz w:val="24"/>
                  <w:szCs w:val="24"/>
                </w:rPr>
                <w:t>Nature Communications</w:t>
              </w:r>
            </w:hyperlink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Jiyu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Zhou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, Shuang Cui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Qingxian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He,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Yitong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Guo,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Xiaojie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Pan,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Pengfei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Zhang,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Ningning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Huang,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Chaoliang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Ge,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Guangji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Wang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*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, Frank J Gonzalez, Hong Wang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*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Haiping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Hao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F8D9" w14:textId="2875FB45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2020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卷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, 240</w:t>
            </w:r>
            <w:r w:rsidR="00E32554" w:rsidRPr="004420CF">
              <w:rPr>
                <w:rFonts w:asciiTheme="minorEastAsia" w:hAnsiTheme="minorEastAsia" w:cs="Times New Roman"/>
                <w:sz w:val="24"/>
                <w:szCs w:val="24"/>
              </w:rPr>
              <w:t>-255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83F" w14:textId="2838BE5C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2020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372" w14:textId="23EB9269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王广基、王洪、郝海平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5A0" w14:textId="1F5C8875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周济宇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137" w14:textId="4D89D2D6" w:rsidR="003B0CBF" w:rsidRPr="004420CF" w:rsidRDefault="00D41224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FDF" w14:textId="5E515410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Web of Science &amp;CNKI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9F47" w14:textId="7112DBDA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否</w:t>
            </w:r>
          </w:p>
        </w:tc>
      </w:tr>
      <w:tr w:rsidR="00D41224" w:rsidRPr="006105DC" w14:paraId="10A7C3CC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CE6" w14:textId="2FA1BC96" w:rsidR="003B0CBF" w:rsidRPr="004420CF" w:rsidRDefault="00B16411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05A" w14:textId="23E87AC4" w:rsidR="003B0CBF" w:rsidRPr="004420CF" w:rsidRDefault="003B0CBF" w:rsidP="004420CF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Combined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obeticholic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acid and apoptosis inhibitor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 xml:space="preserve"> 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treatment alleviates liver fibrosis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 xml:space="preserve">/Acta Pharm Sin B/Zhou J#, Huang 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lastRenderedPageBreak/>
              <w:t>N#, Guo Y, Cui S, Ge C, He Q, Pan X, Wang G*, Wang H*, Hao H*.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2CA5" w14:textId="7456974C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2019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年第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卷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526-536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8883" w14:textId="38F740FC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2019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E9E0" w14:textId="0084DF7D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王广基、王洪、郝</w:t>
            </w:r>
            <w:r w:rsidRPr="004420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海平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F982" w14:textId="047E6D05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周济宇、黄宁宁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E6D7" w14:textId="46AE647A" w:rsidR="003B0CBF" w:rsidRPr="004420CF" w:rsidRDefault="00D41224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E30" w14:textId="1EACB7B6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Web of Scien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ce &amp;CNKI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973C" w14:textId="0C50EC6D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是</w:t>
            </w:r>
          </w:p>
        </w:tc>
      </w:tr>
      <w:tr w:rsidR="00D41224" w:rsidRPr="006105DC" w14:paraId="7ED7ABAB" w14:textId="77777777" w:rsidTr="004420CF">
        <w:trPr>
          <w:trHeight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DFA" w14:textId="4538A52F" w:rsidR="003B0CBF" w:rsidRPr="004420CF" w:rsidRDefault="00B16411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1" w:name="_GoBack" w:colFirst="6" w:colLast="6"/>
            <w:r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9E5" w14:textId="77777777" w:rsidR="003B0CBF" w:rsidRPr="004420CF" w:rsidRDefault="003B0CBF" w:rsidP="004420CF">
            <w:pPr>
              <w:pStyle w:val="TableParagraph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Gut microbiota and intestinal FXR mediate the clinical benefits of metformin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/Nature Medicine/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Lulu Sun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Cen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Xie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Guang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Wang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, Yue Wu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  <w:t>#</w:t>
            </w:r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Qing Wu,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Xuemei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Wang, Jia Liu,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Yangyang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Deng,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Jialin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Xia, Bo Chen,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Songyang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Zhang,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Chuyu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Yun, Guan Lian,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Xiujuan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Zhang, Heng Zhang, William H. Bisson,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Jingmin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Shi,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Xiaoxia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Gao,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Pupu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Ge,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Cuihua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Liu, Kristopher W.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Krausz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Robert G. Nichols,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Jingwei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Cai, Bipin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Rimal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, Andrew D. Patterson, Xian Wang, Frank J. Gonzalez, and </w:t>
            </w:r>
            <w:proofErr w:type="spell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Changtao</w:t>
            </w:r>
            <w:proofErr w:type="spellEnd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proofErr w:type="gramStart"/>
            <w:r w:rsidRPr="004420C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Jiang,*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F0E7" w14:textId="77777777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Style w:val="cit"/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2018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24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卷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1919-1929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5ED" w14:textId="77777777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2018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12</w:t>
            </w: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96E" w14:textId="77777777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姜长涛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85E" w14:textId="37E0332A" w:rsidR="003B0CBF" w:rsidRPr="004420CF" w:rsidRDefault="00467944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67944">
              <w:rPr>
                <w:rFonts w:asciiTheme="minorEastAsia" w:hAnsiTheme="minorEastAsia" w:cs="Times New Roman" w:hint="eastAsia"/>
                <w:sz w:val="24"/>
                <w:szCs w:val="24"/>
              </w:rPr>
              <w:t>孙露露、谢岑、王广、吴</w:t>
            </w:r>
            <w:r w:rsidR="00FA1E04">
              <w:rPr>
                <w:rFonts w:asciiTheme="minorEastAsia" w:hAnsiTheme="minorEastAsia" w:cs="Times New Roman" w:hint="eastAsia"/>
                <w:sz w:val="24"/>
                <w:szCs w:val="24"/>
              </w:rPr>
              <w:t>岳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0062" w14:textId="4907AC6E" w:rsidR="003B0CBF" w:rsidRPr="004420CF" w:rsidRDefault="00D41224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671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F52" w14:textId="77777777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/>
                <w:sz w:val="24"/>
                <w:szCs w:val="24"/>
              </w:rPr>
              <w:t>Web of Science &amp;CNKI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FF5" w14:textId="77777777" w:rsidR="003B0CBF" w:rsidRPr="004420CF" w:rsidRDefault="003B0CBF" w:rsidP="004420CF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420CF">
              <w:rPr>
                <w:rFonts w:asciiTheme="minorEastAsia" w:hAnsiTheme="minorEastAsia" w:cs="Times New Roman" w:hint="eastAsia"/>
                <w:sz w:val="24"/>
                <w:szCs w:val="24"/>
              </w:rPr>
              <w:t>否</w:t>
            </w:r>
          </w:p>
        </w:tc>
      </w:tr>
      <w:bookmarkEnd w:id="1"/>
    </w:tbl>
    <w:p w14:paraId="02A60190" w14:textId="0196430A" w:rsidR="00E875AE" w:rsidRPr="004420CF" w:rsidRDefault="00E875AE" w:rsidP="004420CF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1333756F" w14:textId="4EA11C33" w:rsidR="00E875AE" w:rsidRPr="004420CF" w:rsidRDefault="006105DC" w:rsidP="004420CF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4420CF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Pr="004420CF">
        <w:rPr>
          <w:rFonts w:asciiTheme="minorEastAsia" w:hAnsiTheme="minorEastAsia" w:cs="Times New Roman"/>
          <w:b/>
          <w:sz w:val="24"/>
          <w:szCs w:val="24"/>
        </w:rPr>
        <w:t>4</w:t>
      </w:r>
      <w:r w:rsidRPr="004420CF">
        <w:rPr>
          <w:rFonts w:asciiTheme="minorEastAsia" w:hAnsiTheme="minorEastAsia" w:cs="Times New Roman" w:hint="eastAsia"/>
          <w:b/>
          <w:sz w:val="24"/>
          <w:szCs w:val="24"/>
        </w:rPr>
        <w:t>）主要完成人</w:t>
      </w:r>
    </w:p>
    <w:p w14:paraId="0C99FEC6" w14:textId="3795EDAA" w:rsidR="006105DC" w:rsidRPr="004420CF" w:rsidRDefault="006105DC" w:rsidP="004420CF">
      <w:pPr>
        <w:spacing w:line="360" w:lineRule="auto"/>
        <w:ind w:firstLineChars="200" w:firstLine="480"/>
        <w:rPr>
          <w:rStyle w:val="ac"/>
          <w:rFonts w:asciiTheme="minorEastAsia" w:hAnsiTheme="minorEastAsia" w:cs="Tahoma"/>
          <w:b w:val="0"/>
          <w:color w:val="333333"/>
          <w:kern w:val="0"/>
          <w:sz w:val="24"/>
          <w:szCs w:val="24"/>
        </w:rPr>
      </w:pPr>
      <w:r w:rsidRPr="004420CF">
        <w:rPr>
          <w:rStyle w:val="ac"/>
          <w:rFonts w:asciiTheme="minorEastAsia" w:hAnsiTheme="minorEastAsia" w:cs="Tahoma"/>
          <w:b w:val="0"/>
          <w:color w:val="333333"/>
          <w:kern w:val="0"/>
          <w:sz w:val="24"/>
          <w:szCs w:val="24"/>
        </w:rPr>
        <w:lastRenderedPageBreak/>
        <w:t>郝海平、王广基、</w:t>
      </w:r>
      <w:r w:rsidRPr="004420CF">
        <w:rPr>
          <w:rStyle w:val="ac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  <w:t>姜长涛、</w:t>
      </w:r>
      <w:r w:rsidRPr="004420CF">
        <w:rPr>
          <w:rStyle w:val="ac"/>
          <w:rFonts w:asciiTheme="minorEastAsia" w:hAnsiTheme="minorEastAsia" w:cs="Tahoma"/>
          <w:b w:val="0"/>
          <w:color w:val="333333"/>
          <w:kern w:val="0"/>
          <w:sz w:val="24"/>
          <w:szCs w:val="24"/>
        </w:rPr>
        <w:t>曹丽娟、王洪</w:t>
      </w:r>
    </w:p>
    <w:p w14:paraId="13AD63B9" w14:textId="56025D48" w:rsidR="006105DC" w:rsidRPr="004420CF" w:rsidRDefault="006105DC" w:rsidP="004420CF">
      <w:pPr>
        <w:spacing w:line="360" w:lineRule="auto"/>
        <w:rPr>
          <w:rStyle w:val="ac"/>
          <w:rFonts w:asciiTheme="minorEastAsia" w:hAnsiTheme="minorEastAsia" w:cs="Tahoma"/>
          <w:color w:val="333333"/>
          <w:kern w:val="0"/>
          <w:sz w:val="24"/>
          <w:szCs w:val="24"/>
        </w:rPr>
      </w:pPr>
      <w:r w:rsidRPr="004420CF">
        <w:rPr>
          <w:rStyle w:val="ac"/>
          <w:rFonts w:asciiTheme="minorEastAsia" w:hAnsiTheme="minorEastAsia" w:cs="Tahoma" w:hint="eastAsia"/>
          <w:color w:val="333333"/>
          <w:kern w:val="0"/>
          <w:sz w:val="24"/>
          <w:szCs w:val="24"/>
        </w:rPr>
        <w:t>（</w:t>
      </w:r>
      <w:r w:rsidRPr="004420CF">
        <w:rPr>
          <w:rStyle w:val="ac"/>
          <w:rFonts w:asciiTheme="minorEastAsia" w:hAnsiTheme="minorEastAsia" w:cs="Tahoma"/>
          <w:color w:val="333333"/>
          <w:kern w:val="0"/>
          <w:sz w:val="24"/>
          <w:szCs w:val="24"/>
        </w:rPr>
        <w:t>5）完成单位</w:t>
      </w:r>
    </w:p>
    <w:p w14:paraId="0ACFB465" w14:textId="14E7978B" w:rsidR="006105DC" w:rsidRPr="004420CF" w:rsidRDefault="006105DC" w:rsidP="004420CF">
      <w:pPr>
        <w:spacing w:line="360" w:lineRule="auto"/>
        <w:ind w:firstLineChars="200" w:firstLine="480"/>
        <w:rPr>
          <w:rFonts w:asciiTheme="minorEastAsia" w:hAnsiTheme="minorEastAsia" w:cs="Tahoma"/>
          <w:bCs/>
          <w:color w:val="333333"/>
          <w:kern w:val="0"/>
          <w:sz w:val="24"/>
          <w:szCs w:val="24"/>
        </w:rPr>
      </w:pPr>
      <w:r w:rsidRPr="004420CF">
        <w:rPr>
          <w:rStyle w:val="ac"/>
          <w:rFonts w:asciiTheme="minorEastAsia" w:hAnsiTheme="minorEastAsia" w:cs="Tahoma"/>
          <w:b w:val="0"/>
          <w:color w:val="333333"/>
          <w:kern w:val="0"/>
          <w:sz w:val="24"/>
          <w:szCs w:val="24"/>
        </w:rPr>
        <w:t>中国药科大学</w:t>
      </w:r>
      <w:r w:rsidRPr="004420CF">
        <w:rPr>
          <w:rStyle w:val="ac"/>
          <w:rFonts w:asciiTheme="minorEastAsia" w:hAnsiTheme="minorEastAsia" w:cs="Tahoma" w:hint="eastAsia"/>
          <w:b w:val="0"/>
          <w:color w:val="333333"/>
          <w:kern w:val="0"/>
          <w:sz w:val="24"/>
          <w:szCs w:val="24"/>
        </w:rPr>
        <w:t>、北京大学</w:t>
      </w:r>
    </w:p>
    <w:p w14:paraId="15C39E3B" w14:textId="77777777" w:rsidR="006105DC" w:rsidRPr="006105DC" w:rsidRDefault="006105DC">
      <w:pPr>
        <w:rPr>
          <w:rFonts w:ascii="Times New Roman" w:hAnsi="Times New Roman" w:cs="Times New Roman"/>
          <w:sz w:val="24"/>
        </w:rPr>
      </w:pPr>
    </w:p>
    <w:sectPr w:rsidR="006105DC" w:rsidRPr="006105DC" w:rsidSect="00E875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9DD0" w14:textId="77777777" w:rsidR="009E2846" w:rsidRDefault="009E2846" w:rsidP="00EF525C">
      <w:r>
        <w:separator/>
      </w:r>
    </w:p>
  </w:endnote>
  <w:endnote w:type="continuationSeparator" w:id="0">
    <w:p w14:paraId="4806ABFC" w14:textId="77777777" w:rsidR="009E2846" w:rsidRDefault="009E2846" w:rsidP="00EF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99F95" w14:textId="77777777" w:rsidR="009E2846" w:rsidRDefault="009E2846" w:rsidP="00EF525C">
      <w:r>
        <w:separator/>
      </w:r>
    </w:p>
  </w:footnote>
  <w:footnote w:type="continuationSeparator" w:id="0">
    <w:p w14:paraId="0022CD73" w14:textId="77777777" w:rsidR="009E2846" w:rsidRDefault="009E2846" w:rsidP="00EF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E13AC"/>
    <w:multiLevelType w:val="hybridMultilevel"/>
    <w:tmpl w:val="099E3438"/>
    <w:lvl w:ilvl="0" w:tplc="DA0804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75"/>
    <w:rsid w:val="000309C5"/>
    <w:rsid w:val="00137422"/>
    <w:rsid w:val="00181B38"/>
    <w:rsid w:val="001B6965"/>
    <w:rsid w:val="002360F2"/>
    <w:rsid w:val="0031658A"/>
    <w:rsid w:val="00350FBA"/>
    <w:rsid w:val="003571D1"/>
    <w:rsid w:val="00374060"/>
    <w:rsid w:val="003B0CBF"/>
    <w:rsid w:val="00434034"/>
    <w:rsid w:val="004420CF"/>
    <w:rsid w:val="0046451E"/>
    <w:rsid w:val="00467944"/>
    <w:rsid w:val="00540C44"/>
    <w:rsid w:val="005C7EF7"/>
    <w:rsid w:val="005D181E"/>
    <w:rsid w:val="006105DC"/>
    <w:rsid w:val="006A6AB8"/>
    <w:rsid w:val="007848F0"/>
    <w:rsid w:val="007A7FEE"/>
    <w:rsid w:val="007B33C5"/>
    <w:rsid w:val="007F496B"/>
    <w:rsid w:val="00821A35"/>
    <w:rsid w:val="008329B6"/>
    <w:rsid w:val="00920603"/>
    <w:rsid w:val="00966A56"/>
    <w:rsid w:val="00970AF6"/>
    <w:rsid w:val="009C11CA"/>
    <w:rsid w:val="009D3F75"/>
    <w:rsid w:val="009E2846"/>
    <w:rsid w:val="00AD0262"/>
    <w:rsid w:val="00B16411"/>
    <w:rsid w:val="00BD4A3C"/>
    <w:rsid w:val="00BF2125"/>
    <w:rsid w:val="00C46CD2"/>
    <w:rsid w:val="00D121D6"/>
    <w:rsid w:val="00D34050"/>
    <w:rsid w:val="00D41224"/>
    <w:rsid w:val="00D6107D"/>
    <w:rsid w:val="00DA3B06"/>
    <w:rsid w:val="00E30E50"/>
    <w:rsid w:val="00E32554"/>
    <w:rsid w:val="00E875AE"/>
    <w:rsid w:val="00EF525C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82CD"/>
  <w15:chartTrackingRefBased/>
  <w15:docId w15:val="{A475E59C-C7E5-4E00-97B3-84284719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25C"/>
    <w:rPr>
      <w:sz w:val="18"/>
      <w:szCs w:val="18"/>
    </w:rPr>
  </w:style>
  <w:style w:type="paragraph" w:styleId="a7">
    <w:name w:val="List Paragraph"/>
    <w:basedOn w:val="a"/>
    <w:uiPriority w:val="34"/>
    <w:qFormat/>
    <w:rsid w:val="00E875A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571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71D1"/>
    <w:rPr>
      <w:sz w:val="18"/>
      <w:szCs w:val="18"/>
    </w:rPr>
  </w:style>
  <w:style w:type="paragraph" w:styleId="aa">
    <w:name w:val="Revision"/>
    <w:hidden/>
    <w:uiPriority w:val="99"/>
    <w:semiHidden/>
    <w:rsid w:val="008329B6"/>
  </w:style>
  <w:style w:type="paragraph" w:customStyle="1" w:styleId="TableParagraph">
    <w:name w:val="Table Paragraph"/>
    <w:basedOn w:val="a"/>
    <w:uiPriority w:val="1"/>
    <w:qFormat/>
    <w:rsid w:val="008329B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cit">
    <w:name w:val="cit"/>
    <w:basedOn w:val="a0"/>
    <w:qFormat/>
    <w:rsid w:val="008329B6"/>
  </w:style>
  <w:style w:type="paragraph" w:styleId="ab">
    <w:name w:val="Normal (Web)"/>
    <w:basedOn w:val="a"/>
    <w:uiPriority w:val="99"/>
    <w:unhideWhenUsed/>
    <w:rsid w:val="00BF21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BF2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-mol.com/paper/journal/49?r_detail=1216893559271870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</dc:creator>
  <cp:keywords/>
  <dc:description/>
  <cp:lastModifiedBy>Lijuan Cao</cp:lastModifiedBy>
  <cp:revision>2</cp:revision>
  <dcterms:created xsi:type="dcterms:W3CDTF">2023-12-21T01:42:00Z</dcterms:created>
  <dcterms:modified xsi:type="dcterms:W3CDTF">2023-12-21T01:42:00Z</dcterms:modified>
</cp:coreProperties>
</file>