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59184" w14:textId="77777777" w:rsidR="009B6C7C" w:rsidRDefault="009B6C7C" w:rsidP="009B6C7C">
      <w:pPr>
        <w:pStyle w:val="1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Times New Roman" w:eastAsia="宋体"/>
          <w:b/>
          <w:bCs/>
          <w:sz w:val="36"/>
          <w:szCs w:val="36"/>
        </w:rPr>
        <w:t>202</w:t>
      </w:r>
      <w:r>
        <w:rPr>
          <w:rFonts w:ascii="Times New Roman" w:eastAsia="宋体" w:hint="eastAsia"/>
          <w:b/>
          <w:bCs/>
          <w:sz w:val="36"/>
          <w:szCs w:val="36"/>
        </w:rPr>
        <w:t>2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年度教育部高等学校科学研究优秀成果奖公示表</w:t>
      </w:r>
    </w:p>
    <w:p w14:paraId="740C2DF9" w14:textId="77777777" w:rsidR="009B6C7C" w:rsidRPr="009B6C7C" w:rsidRDefault="009B6C7C" w:rsidP="009B6C7C">
      <w:pPr>
        <w:pStyle w:val="1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（自然科学奖）</w:t>
      </w:r>
    </w:p>
    <w:tbl>
      <w:tblPr>
        <w:tblW w:w="96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95"/>
        <w:gridCol w:w="3845"/>
        <w:gridCol w:w="1871"/>
        <w:gridCol w:w="2970"/>
      </w:tblGrid>
      <w:tr w:rsidR="009B6C7C" w14:paraId="08B924C2" w14:textId="77777777" w:rsidTr="005F1F49">
        <w:trPr>
          <w:cantSplit/>
          <w:trHeight w:val="510"/>
          <w:jc w:val="center"/>
        </w:trPr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 w14:paraId="124C8C11" w14:textId="77777777" w:rsidR="009B6C7C" w:rsidRDefault="009B6C7C" w:rsidP="00C016BB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项目名称</w:t>
            </w:r>
          </w:p>
        </w:tc>
        <w:tc>
          <w:tcPr>
            <w:tcW w:w="8686" w:type="dxa"/>
            <w:gridSpan w:val="3"/>
            <w:tcBorders>
              <w:tl2br w:val="nil"/>
              <w:tr2bl w:val="nil"/>
            </w:tcBorders>
            <w:vAlign w:val="center"/>
          </w:tcPr>
          <w:p w14:paraId="1DA61D27" w14:textId="33975A35" w:rsidR="009B6C7C" w:rsidRDefault="002B1E10" w:rsidP="008F7CA5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组蛋白</w:t>
            </w:r>
            <w:r w:rsidR="00A83AA1">
              <w:rPr>
                <w:rFonts w:hint="eastAsia"/>
                <w:szCs w:val="21"/>
              </w:rPr>
              <w:t>修饰</w:t>
            </w:r>
            <w:r w:rsidR="00511561">
              <w:rPr>
                <w:rFonts w:hint="eastAsia"/>
                <w:szCs w:val="21"/>
              </w:rPr>
              <w:t>酶</w:t>
            </w:r>
            <w:r w:rsidR="00A83AA1">
              <w:rPr>
                <w:rFonts w:hint="eastAsia"/>
                <w:szCs w:val="21"/>
              </w:rPr>
              <w:t>调控细胞稳态的机制研究</w:t>
            </w:r>
          </w:p>
        </w:tc>
      </w:tr>
      <w:tr w:rsidR="009B6C7C" w14:paraId="1F01E66B" w14:textId="77777777" w:rsidTr="005F1F49">
        <w:trPr>
          <w:trHeight w:val="510"/>
          <w:jc w:val="center"/>
        </w:trPr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 w14:paraId="41C3D3CF" w14:textId="77777777" w:rsidR="009B6C7C" w:rsidRDefault="009B6C7C" w:rsidP="00C016BB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提名单位（专家）</w:t>
            </w:r>
          </w:p>
        </w:tc>
        <w:tc>
          <w:tcPr>
            <w:tcW w:w="8686" w:type="dxa"/>
            <w:gridSpan w:val="3"/>
            <w:tcBorders>
              <w:tl2br w:val="nil"/>
              <w:tr2bl w:val="nil"/>
            </w:tcBorders>
            <w:vAlign w:val="center"/>
          </w:tcPr>
          <w:p w14:paraId="10A181EC" w14:textId="77777777" w:rsidR="009B6C7C" w:rsidRDefault="003D2A5E" w:rsidP="008F7CA5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广东省教育厅</w:t>
            </w:r>
          </w:p>
        </w:tc>
      </w:tr>
      <w:tr w:rsidR="009B6C7C" w14:paraId="7AD27D90" w14:textId="77777777" w:rsidTr="005F1F49">
        <w:trPr>
          <w:trHeight w:val="1701"/>
          <w:jc w:val="center"/>
        </w:trPr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 w14:paraId="26F16CBE" w14:textId="77777777" w:rsidR="009B6C7C" w:rsidRDefault="009B6C7C" w:rsidP="00C016BB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项目简介</w:t>
            </w:r>
          </w:p>
        </w:tc>
        <w:tc>
          <w:tcPr>
            <w:tcW w:w="8686" w:type="dxa"/>
            <w:gridSpan w:val="3"/>
            <w:tcBorders>
              <w:tl2br w:val="nil"/>
              <w:tr2bl w:val="nil"/>
            </w:tcBorders>
          </w:tcPr>
          <w:p w14:paraId="50031C4F" w14:textId="506C7680" w:rsidR="00677011" w:rsidRDefault="002B1E10" w:rsidP="00123EEE">
            <w:pPr>
              <w:spacing w:beforeLines="50" w:before="156" w:afterLines="50" w:after="156" w:line="24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组蛋白</w:t>
            </w:r>
            <w:r w:rsidR="006128D9">
              <w:rPr>
                <w:rFonts w:hint="eastAsia"/>
                <w:szCs w:val="21"/>
              </w:rPr>
              <w:t>修饰酶</w:t>
            </w:r>
            <w:proofErr w:type="gramStart"/>
            <w:r w:rsidR="009E430F">
              <w:rPr>
                <w:rFonts w:hint="eastAsia"/>
                <w:szCs w:val="21"/>
              </w:rPr>
              <w:t>介</w:t>
            </w:r>
            <w:proofErr w:type="gramEnd"/>
            <w:r w:rsidR="009E430F">
              <w:rPr>
                <w:rFonts w:hint="eastAsia"/>
                <w:szCs w:val="21"/>
              </w:rPr>
              <w:t>导的蛋白质翻译后修饰</w:t>
            </w:r>
            <w:r w:rsidR="00637760">
              <w:rPr>
                <w:rFonts w:hint="eastAsia"/>
                <w:szCs w:val="21"/>
              </w:rPr>
              <w:t>使得</w:t>
            </w:r>
            <w:r w:rsidR="00CE4F98">
              <w:rPr>
                <w:rFonts w:hint="eastAsia"/>
                <w:szCs w:val="21"/>
              </w:rPr>
              <w:t>细胞</w:t>
            </w:r>
            <w:r w:rsidR="00637760">
              <w:rPr>
                <w:rFonts w:hint="eastAsia"/>
                <w:szCs w:val="21"/>
              </w:rPr>
              <w:t>可以快速响应</w:t>
            </w:r>
            <w:r w:rsidR="00CE4F98" w:rsidRPr="009E430F">
              <w:rPr>
                <w:rFonts w:hint="eastAsia"/>
                <w:szCs w:val="21"/>
              </w:rPr>
              <w:t>内外环境刺激</w:t>
            </w:r>
            <w:r w:rsidR="00CE4F98">
              <w:rPr>
                <w:rFonts w:hint="eastAsia"/>
                <w:szCs w:val="21"/>
              </w:rPr>
              <w:t>，</w:t>
            </w:r>
            <w:r w:rsidR="00165A1D">
              <w:rPr>
                <w:rFonts w:hint="eastAsia"/>
                <w:szCs w:val="21"/>
              </w:rPr>
              <w:t>借以</w:t>
            </w:r>
            <w:r w:rsidR="009E430F">
              <w:rPr>
                <w:rFonts w:hint="eastAsia"/>
                <w:szCs w:val="21"/>
              </w:rPr>
              <w:t>调控</w:t>
            </w:r>
            <w:r w:rsidR="00165A1D">
              <w:rPr>
                <w:rFonts w:hint="eastAsia"/>
                <w:szCs w:val="21"/>
              </w:rPr>
              <w:t>细胞命运</w:t>
            </w:r>
            <w:r w:rsidR="002E04A0">
              <w:rPr>
                <w:rFonts w:hint="eastAsia"/>
                <w:szCs w:val="21"/>
              </w:rPr>
              <w:t>：</w:t>
            </w:r>
            <w:r w:rsidR="00165A1D">
              <w:rPr>
                <w:rFonts w:hint="eastAsia"/>
                <w:szCs w:val="21"/>
              </w:rPr>
              <w:t>增殖、迁移、自噬和凋亡。本项目研究</w:t>
            </w:r>
            <w:r w:rsidR="00165A1D" w:rsidRPr="00165A1D">
              <w:rPr>
                <w:rFonts w:hint="eastAsia"/>
                <w:szCs w:val="21"/>
              </w:rPr>
              <w:t>表观遗传修饰及相关酶类</w:t>
            </w:r>
            <w:r w:rsidR="00165A1D">
              <w:rPr>
                <w:rFonts w:hint="eastAsia"/>
                <w:szCs w:val="21"/>
              </w:rPr>
              <w:t>调控</w:t>
            </w:r>
            <w:r w:rsidR="001979BE">
              <w:rPr>
                <w:rFonts w:hint="eastAsia"/>
                <w:szCs w:val="21"/>
              </w:rPr>
              <w:t>基因组稳定性、</w:t>
            </w:r>
            <w:r w:rsidR="009E430F">
              <w:rPr>
                <w:rFonts w:hint="eastAsia"/>
                <w:szCs w:val="21"/>
              </w:rPr>
              <w:t>基因表达</w:t>
            </w:r>
            <w:r w:rsidR="00512709">
              <w:rPr>
                <w:rFonts w:hint="eastAsia"/>
                <w:szCs w:val="21"/>
              </w:rPr>
              <w:t>、</w:t>
            </w:r>
            <w:r w:rsidR="009E430F">
              <w:rPr>
                <w:rFonts w:hint="eastAsia"/>
                <w:szCs w:val="21"/>
              </w:rPr>
              <w:t>蛋白质</w:t>
            </w:r>
            <w:r w:rsidR="000031D7">
              <w:rPr>
                <w:rFonts w:hint="eastAsia"/>
                <w:szCs w:val="21"/>
              </w:rPr>
              <w:t>稳定性与酶活</w:t>
            </w:r>
            <w:r w:rsidR="00512709">
              <w:rPr>
                <w:rFonts w:hint="eastAsia"/>
                <w:szCs w:val="21"/>
              </w:rPr>
              <w:t>性</w:t>
            </w:r>
            <w:r w:rsidR="000031D7">
              <w:rPr>
                <w:rFonts w:hint="eastAsia"/>
                <w:szCs w:val="21"/>
              </w:rPr>
              <w:t>的机制</w:t>
            </w:r>
            <w:r w:rsidR="009E430F">
              <w:rPr>
                <w:rFonts w:hint="eastAsia"/>
                <w:szCs w:val="21"/>
              </w:rPr>
              <w:t>，</w:t>
            </w:r>
            <w:r w:rsidR="000031D7">
              <w:rPr>
                <w:rFonts w:hint="eastAsia"/>
                <w:szCs w:val="21"/>
              </w:rPr>
              <w:t>及其</w:t>
            </w:r>
            <w:r w:rsidR="009E430F">
              <w:rPr>
                <w:rFonts w:hint="eastAsia"/>
                <w:szCs w:val="21"/>
              </w:rPr>
              <w:t>在维持细胞稳态</w:t>
            </w:r>
            <w:r w:rsidR="00637760">
              <w:rPr>
                <w:rFonts w:hint="eastAsia"/>
                <w:szCs w:val="21"/>
              </w:rPr>
              <w:t>，防止</w:t>
            </w:r>
            <w:r w:rsidR="000031D7">
              <w:rPr>
                <w:rFonts w:hint="eastAsia"/>
                <w:szCs w:val="21"/>
              </w:rPr>
              <w:t>肿瘤</w:t>
            </w:r>
            <w:r w:rsidR="00637760">
              <w:rPr>
                <w:rFonts w:hint="eastAsia"/>
                <w:szCs w:val="21"/>
              </w:rPr>
              <w:t>发生发展与转移中的作用。</w:t>
            </w:r>
          </w:p>
          <w:p w14:paraId="38D852FA" w14:textId="77BDB5ED" w:rsidR="009B6C7C" w:rsidRDefault="005B7CD8" w:rsidP="00290617">
            <w:pPr>
              <w:spacing w:beforeLines="50" w:before="156" w:afterLines="50" w:after="156" w:line="240" w:lineRule="exact"/>
              <w:ind w:firstLineChars="200" w:firstLine="420"/>
              <w:rPr>
                <w:szCs w:val="21"/>
              </w:rPr>
            </w:pPr>
            <w:r w:rsidRPr="005B7CD8">
              <w:rPr>
                <w:rFonts w:hint="eastAsia"/>
                <w:szCs w:val="21"/>
              </w:rPr>
              <w:t>主要创新点：（</w:t>
            </w:r>
            <w:r w:rsidRPr="005B7CD8">
              <w:rPr>
                <w:rFonts w:hint="eastAsia"/>
                <w:szCs w:val="21"/>
              </w:rPr>
              <w:t>1</w:t>
            </w:r>
            <w:r w:rsidRPr="005B7CD8">
              <w:rPr>
                <w:rFonts w:hint="eastAsia"/>
                <w:szCs w:val="21"/>
              </w:rPr>
              <w:t>）发现</w:t>
            </w:r>
            <w:proofErr w:type="gramStart"/>
            <w:r w:rsidRPr="005B7CD8">
              <w:rPr>
                <w:rFonts w:hint="eastAsia"/>
                <w:szCs w:val="21"/>
              </w:rPr>
              <w:t>组蛋白泛素修饰酶</w:t>
            </w:r>
            <w:proofErr w:type="gramEnd"/>
            <w:r w:rsidRPr="005B7CD8">
              <w:rPr>
                <w:rFonts w:hint="eastAsia"/>
                <w:szCs w:val="21"/>
              </w:rPr>
              <w:t>RNF168</w:t>
            </w:r>
            <w:r w:rsidRPr="005B7CD8">
              <w:rPr>
                <w:rFonts w:hint="eastAsia"/>
                <w:szCs w:val="21"/>
              </w:rPr>
              <w:t>调控肿瘤细胞</w:t>
            </w:r>
            <w:r w:rsidRPr="005B7CD8">
              <w:rPr>
                <w:rFonts w:hint="eastAsia"/>
                <w:szCs w:val="21"/>
              </w:rPr>
              <w:t>DNA</w:t>
            </w:r>
            <w:r w:rsidRPr="005B7CD8">
              <w:rPr>
                <w:rFonts w:hint="eastAsia"/>
                <w:szCs w:val="21"/>
              </w:rPr>
              <w:t>损伤应答过程（代表作</w:t>
            </w:r>
            <w:proofErr w:type="gramStart"/>
            <w:r w:rsidRPr="005B7CD8">
              <w:rPr>
                <w:rFonts w:hint="eastAsia"/>
                <w:szCs w:val="21"/>
              </w:rPr>
              <w:t>一</w:t>
            </w:r>
            <w:proofErr w:type="gramEnd"/>
            <w:r w:rsidRPr="005B7CD8">
              <w:rPr>
                <w:rFonts w:hint="eastAsia"/>
                <w:szCs w:val="21"/>
              </w:rPr>
              <w:t>：</w:t>
            </w:r>
            <w:r w:rsidRPr="005B7CD8">
              <w:rPr>
                <w:rFonts w:hint="eastAsia"/>
                <w:szCs w:val="21"/>
              </w:rPr>
              <w:t>Molecular Cell 2016</w:t>
            </w:r>
            <w:r w:rsidRPr="005B7CD8">
              <w:rPr>
                <w:rFonts w:hint="eastAsia"/>
                <w:szCs w:val="21"/>
              </w:rPr>
              <w:t>）。（</w:t>
            </w:r>
            <w:r w:rsidRPr="005B7CD8">
              <w:rPr>
                <w:rFonts w:hint="eastAsia"/>
                <w:szCs w:val="21"/>
              </w:rPr>
              <w:t>2</w:t>
            </w:r>
            <w:r w:rsidRPr="005B7CD8">
              <w:rPr>
                <w:rFonts w:hint="eastAsia"/>
                <w:szCs w:val="21"/>
              </w:rPr>
              <w:t>）发现组蛋白去乙酰化酶</w:t>
            </w:r>
            <w:r w:rsidRPr="005B7CD8">
              <w:rPr>
                <w:rFonts w:hint="eastAsia"/>
                <w:szCs w:val="21"/>
              </w:rPr>
              <w:t>SIRT7</w:t>
            </w:r>
            <w:r w:rsidRPr="005B7CD8">
              <w:rPr>
                <w:rFonts w:hint="eastAsia"/>
                <w:szCs w:val="21"/>
              </w:rPr>
              <w:t>、乙酰化酶</w:t>
            </w:r>
            <w:r w:rsidRPr="005B7CD8">
              <w:rPr>
                <w:rFonts w:hint="eastAsia"/>
                <w:szCs w:val="21"/>
              </w:rPr>
              <w:t>P300</w:t>
            </w:r>
            <w:r w:rsidRPr="005B7CD8">
              <w:rPr>
                <w:rFonts w:hint="eastAsia"/>
                <w:szCs w:val="21"/>
              </w:rPr>
              <w:t>调节肿瘤发生、迁移与放疗敏感性（代表作二：</w:t>
            </w:r>
            <w:r w:rsidRPr="005B7CD8">
              <w:rPr>
                <w:rFonts w:hint="eastAsia"/>
                <w:szCs w:val="21"/>
              </w:rPr>
              <w:t>Molecular Cell 2019</w:t>
            </w:r>
            <w:r w:rsidRPr="005B7CD8">
              <w:rPr>
                <w:rFonts w:hint="eastAsia"/>
                <w:szCs w:val="21"/>
              </w:rPr>
              <w:t>；代表作三：</w:t>
            </w:r>
            <w:r w:rsidRPr="005B7CD8">
              <w:rPr>
                <w:rFonts w:hint="eastAsia"/>
                <w:szCs w:val="21"/>
              </w:rPr>
              <w:t>Nature Communications 2017</w:t>
            </w:r>
            <w:r w:rsidRPr="005B7CD8">
              <w:rPr>
                <w:rFonts w:hint="eastAsia"/>
                <w:szCs w:val="21"/>
              </w:rPr>
              <w:t>；代表作四：</w:t>
            </w:r>
            <w:r w:rsidRPr="005B7CD8">
              <w:rPr>
                <w:rFonts w:hint="eastAsia"/>
                <w:szCs w:val="21"/>
              </w:rPr>
              <w:t>Science Advances 2019</w:t>
            </w:r>
            <w:r w:rsidRPr="005B7CD8">
              <w:rPr>
                <w:rFonts w:hint="eastAsia"/>
                <w:szCs w:val="21"/>
              </w:rPr>
              <w:t>）。（</w:t>
            </w:r>
            <w:r w:rsidRPr="005B7CD8">
              <w:rPr>
                <w:rFonts w:hint="eastAsia"/>
                <w:szCs w:val="21"/>
              </w:rPr>
              <w:t>3</w:t>
            </w:r>
            <w:r w:rsidRPr="005B7CD8">
              <w:rPr>
                <w:rFonts w:hint="eastAsia"/>
                <w:szCs w:val="21"/>
              </w:rPr>
              <w:t>）发现组蛋白甲基化酶调节肿瘤细胞</w:t>
            </w:r>
            <w:r w:rsidRPr="005B7CD8">
              <w:rPr>
                <w:rFonts w:hint="eastAsia"/>
                <w:szCs w:val="21"/>
              </w:rPr>
              <w:t>DNA</w:t>
            </w:r>
            <w:r w:rsidRPr="005B7CD8">
              <w:rPr>
                <w:rFonts w:hint="eastAsia"/>
                <w:szCs w:val="21"/>
              </w:rPr>
              <w:t>损伤应答和放化疗敏感性（代表作五：</w:t>
            </w:r>
            <w:r w:rsidRPr="005B7CD8">
              <w:rPr>
                <w:rFonts w:hint="eastAsia"/>
                <w:szCs w:val="21"/>
              </w:rPr>
              <w:t>PNAS 2017</w:t>
            </w:r>
            <w:r w:rsidRPr="005B7CD8">
              <w:rPr>
                <w:rFonts w:hint="eastAsia"/>
                <w:szCs w:val="21"/>
              </w:rPr>
              <w:t>）。</w:t>
            </w:r>
          </w:p>
          <w:p w14:paraId="07B5D0B1" w14:textId="09433025" w:rsidR="00C954D4" w:rsidRDefault="006C37F6" w:rsidP="0009495A">
            <w:pPr>
              <w:spacing w:beforeLines="50" w:before="156" w:afterLines="50" w:after="156" w:line="240" w:lineRule="exact"/>
              <w:ind w:firstLineChars="200" w:firstLine="420"/>
              <w:rPr>
                <w:szCs w:val="21"/>
              </w:rPr>
            </w:pPr>
            <w:r w:rsidRPr="005E0619">
              <w:rPr>
                <w:rFonts w:hint="eastAsia"/>
                <w:szCs w:val="21"/>
              </w:rPr>
              <w:t>科学意义：</w:t>
            </w:r>
            <w:r w:rsidR="00677011" w:rsidRPr="005E0619">
              <w:rPr>
                <w:rFonts w:hint="eastAsia"/>
                <w:szCs w:val="21"/>
              </w:rPr>
              <w:t>（</w:t>
            </w:r>
            <w:r w:rsidR="00C954D4" w:rsidRPr="005E0619">
              <w:rPr>
                <w:szCs w:val="21"/>
              </w:rPr>
              <w:t>1</w:t>
            </w:r>
            <w:r w:rsidR="00677011" w:rsidRPr="005E0619">
              <w:rPr>
                <w:rFonts w:hint="eastAsia"/>
                <w:szCs w:val="21"/>
              </w:rPr>
              <w:t>）</w:t>
            </w:r>
            <w:r w:rsidR="008E0A20" w:rsidRPr="005E0619">
              <w:rPr>
                <w:rFonts w:hint="eastAsia"/>
                <w:szCs w:val="21"/>
              </w:rPr>
              <w:t>国际上</w:t>
            </w:r>
            <w:r w:rsidR="00C954D4" w:rsidRPr="005E0619">
              <w:rPr>
                <w:rFonts w:hint="eastAsia"/>
                <w:szCs w:val="21"/>
              </w:rPr>
              <w:t>首次报道</w:t>
            </w:r>
            <w:r w:rsidR="008E0A20" w:rsidRPr="005E0619">
              <w:rPr>
                <w:rFonts w:hint="eastAsia"/>
                <w:szCs w:val="21"/>
              </w:rPr>
              <w:t>胞质</w:t>
            </w:r>
            <w:r w:rsidR="00C228B0" w:rsidRPr="005E0619">
              <w:rPr>
                <w:rFonts w:hint="eastAsia"/>
                <w:szCs w:val="21"/>
              </w:rPr>
              <w:t>细胞自噬与</w:t>
            </w:r>
            <w:r w:rsidR="008E0A20" w:rsidRPr="005E0619">
              <w:rPr>
                <w:rFonts w:hint="eastAsia"/>
                <w:szCs w:val="21"/>
              </w:rPr>
              <w:t>胞核</w:t>
            </w:r>
            <w:r w:rsidR="00C228B0" w:rsidRPr="005E0619">
              <w:rPr>
                <w:rFonts w:hint="eastAsia"/>
                <w:szCs w:val="21"/>
              </w:rPr>
              <w:t>DNA</w:t>
            </w:r>
            <w:r w:rsidR="00C228B0" w:rsidRPr="005E0619">
              <w:rPr>
                <w:rFonts w:hint="eastAsia"/>
                <w:szCs w:val="21"/>
              </w:rPr>
              <w:t>损伤应答之间的对话机制</w:t>
            </w:r>
            <w:r w:rsidR="008E0A20" w:rsidRPr="005E0619">
              <w:rPr>
                <w:rFonts w:hint="eastAsia"/>
                <w:szCs w:val="21"/>
              </w:rPr>
              <w:t>，</w:t>
            </w:r>
            <w:r w:rsidR="00C228B0" w:rsidRPr="005E0619">
              <w:rPr>
                <w:rFonts w:hint="eastAsia"/>
                <w:szCs w:val="21"/>
              </w:rPr>
              <w:t>暨阐明</w:t>
            </w:r>
            <w:r w:rsidR="00C954D4" w:rsidRPr="005E0619">
              <w:rPr>
                <w:rFonts w:hint="eastAsia"/>
                <w:szCs w:val="21"/>
              </w:rPr>
              <w:t>p62</w:t>
            </w:r>
            <w:r w:rsidR="00C954D4" w:rsidRPr="005E0619">
              <w:rPr>
                <w:rFonts w:hint="eastAsia"/>
                <w:szCs w:val="21"/>
              </w:rPr>
              <w:t>如何作为桥梁参与到自噬与</w:t>
            </w:r>
            <w:r w:rsidR="00C954D4" w:rsidRPr="005E0619">
              <w:rPr>
                <w:rFonts w:hint="eastAsia"/>
                <w:szCs w:val="21"/>
              </w:rPr>
              <w:t>ATM</w:t>
            </w:r>
            <w:proofErr w:type="gramStart"/>
            <w:r w:rsidR="00C954D4" w:rsidRPr="005E0619">
              <w:rPr>
                <w:rFonts w:hint="eastAsia"/>
                <w:szCs w:val="21"/>
              </w:rPr>
              <w:t>介</w:t>
            </w:r>
            <w:proofErr w:type="gramEnd"/>
            <w:r w:rsidR="00C954D4" w:rsidRPr="005E0619">
              <w:rPr>
                <w:rFonts w:hint="eastAsia"/>
                <w:szCs w:val="21"/>
              </w:rPr>
              <w:t>导的</w:t>
            </w:r>
            <w:r w:rsidR="00C954D4" w:rsidRPr="005E0619">
              <w:rPr>
                <w:rFonts w:hint="eastAsia"/>
                <w:szCs w:val="21"/>
              </w:rPr>
              <w:t>DNA</w:t>
            </w:r>
            <w:r w:rsidR="00C954D4" w:rsidRPr="005E0619">
              <w:rPr>
                <w:rFonts w:hint="eastAsia"/>
                <w:szCs w:val="21"/>
              </w:rPr>
              <w:t>损伤应答之间的复杂调控</w:t>
            </w:r>
            <w:r w:rsidR="008E0A20" w:rsidRPr="005E0619">
              <w:rPr>
                <w:rFonts w:hint="eastAsia"/>
                <w:szCs w:val="21"/>
              </w:rPr>
              <w:t>；</w:t>
            </w:r>
            <w:r w:rsidR="005B7CD8" w:rsidRPr="005E0619">
              <w:rPr>
                <w:rFonts w:hint="eastAsia"/>
                <w:szCs w:val="21"/>
              </w:rPr>
              <w:t>（</w:t>
            </w:r>
            <w:r w:rsidR="005B7CD8" w:rsidRPr="005E0619">
              <w:rPr>
                <w:rFonts w:hint="eastAsia"/>
                <w:szCs w:val="21"/>
              </w:rPr>
              <w:t>2</w:t>
            </w:r>
            <w:r w:rsidR="005B7CD8" w:rsidRPr="005E0619">
              <w:rPr>
                <w:rFonts w:hint="eastAsia"/>
                <w:szCs w:val="21"/>
              </w:rPr>
              <w:t>）</w:t>
            </w:r>
            <w:r w:rsidR="005B7CD8" w:rsidRPr="003461D5">
              <w:rPr>
                <w:rFonts w:hint="eastAsia"/>
                <w:szCs w:val="21"/>
              </w:rPr>
              <w:t>首次发现了乙酰化和剪接体之间的联系，</w:t>
            </w:r>
            <w:r w:rsidR="00A848CE" w:rsidRPr="003461D5">
              <w:rPr>
                <w:rFonts w:hint="eastAsia"/>
                <w:szCs w:val="21"/>
              </w:rPr>
              <w:t>p</w:t>
            </w:r>
            <w:r w:rsidR="00A848CE" w:rsidRPr="003461D5">
              <w:rPr>
                <w:szCs w:val="21"/>
              </w:rPr>
              <w:t>300</w:t>
            </w:r>
            <w:proofErr w:type="gramStart"/>
            <w:r w:rsidR="00A848CE" w:rsidRPr="003461D5">
              <w:rPr>
                <w:rFonts w:hint="eastAsia"/>
                <w:szCs w:val="21"/>
              </w:rPr>
              <w:t>介</w:t>
            </w:r>
            <w:proofErr w:type="gramEnd"/>
            <w:r w:rsidR="00A848CE" w:rsidRPr="003461D5">
              <w:rPr>
                <w:rFonts w:hint="eastAsia"/>
                <w:szCs w:val="21"/>
              </w:rPr>
              <w:t>导</w:t>
            </w:r>
            <w:r w:rsidR="005B7CD8" w:rsidRPr="003461D5">
              <w:rPr>
                <w:rFonts w:hint="eastAsia"/>
                <w:szCs w:val="21"/>
              </w:rPr>
              <w:t>乙酰化修饰的</w:t>
            </w:r>
            <w:r w:rsidR="005B7CD8" w:rsidRPr="003461D5">
              <w:rPr>
                <w:rFonts w:hint="eastAsia"/>
                <w:szCs w:val="21"/>
              </w:rPr>
              <w:t>PHF5A</w:t>
            </w:r>
            <w:r w:rsidR="005B7CD8" w:rsidRPr="003461D5">
              <w:rPr>
                <w:rFonts w:hint="eastAsia"/>
                <w:szCs w:val="21"/>
              </w:rPr>
              <w:t>能够利用转录后调节来帮助癌细胞应对细胞应激并存活，进而促进肿瘤的发生。</w:t>
            </w:r>
            <w:r w:rsidR="005B7CD8" w:rsidRPr="005E0619">
              <w:rPr>
                <w:rFonts w:hint="eastAsia"/>
                <w:szCs w:val="21"/>
              </w:rPr>
              <w:t>（</w:t>
            </w:r>
            <w:r w:rsidR="005B7CD8" w:rsidRPr="005E0619">
              <w:rPr>
                <w:rFonts w:hint="eastAsia"/>
                <w:szCs w:val="21"/>
              </w:rPr>
              <w:t>3</w:t>
            </w:r>
            <w:r w:rsidR="005B7CD8" w:rsidRPr="005E0619">
              <w:rPr>
                <w:rFonts w:hint="eastAsia"/>
                <w:szCs w:val="21"/>
              </w:rPr>
              <w:t>）</w:t>
            </w:r>
            <w:r w:rsidR="003B12C9" w:rsidRPr="005E0619">
              <w:rPr>
                <w:rFonts w:hint="eastAsia"/>
                <w:szCs w:val="21"/>
              </w:rPr>
              <w:t>首次</w:t>
            </w:r>
            <w:r w:rsidR="005B7CD8" w:rsidRPr="005E0619">
              <w:rPr>
                <w:rFonts w:hint="eastAsia"/>
                <w:szCs w:val="21"/>
              </w:rPr>
              <w:t>揭示了</w:t>
            </w:r>
            <w:r w:rsidR="003B12C9" w:rsidRPr="005E0619">
              <w:rPr>
                <w:rFonts w:hint="eastAsia"/>
                <w:szCs w:val="21"/>
              </w:rPr>
              <w:t>S</w:t>
            </w:r>
            <w:r w:rsidR="003B12C9" w:rsidRPr="005E0619">
              <w:rPr>
                <w:szCs w:val="21"/>
              </w:rPr>
              <w:t>IRT7</w:t>
            </w:r>
            <w:r w:rsidR="005B7CD8" w:rsidRPr="005E0619">
              <w:rPr>
                <w:rFonts w:hint="eastAsia"/>
                <w:szCs w:val="21"/>
              </w:rPr>
              <w:t>调控</w:t>
            </w:r>
            <w:r w:rsidR="005B7CD8" w:rsidRPr="005E0619">
              <w:rPr>
                <w:rFonts w:hint="eastAsia"/>
                <w:szCs w:val="21"/>
              </w:rPr>
              <w:t>TGF-</w:t>
            </w:r>
            <w:r w:rsidR="005B7CD8" w:rsidRPr="005E0619">
              <w:rPr>
                <w:rFonts w:ascii="Symbol" w:hAnsi="Symbol"/>
                <w:szCs w:val="21"/>
              </w:rPr>
              <w:t></w:t>
            </w:r>
            <w:r w:rsidR="005B7CD8" w:rsidRPr="005E0619">
              <w:rPr>
                <w:rFonts w:hint="eastAsia"/>
                <w:szCs w:val="21"/>
              </w:rPr>
              <w:t>信号通路的新机制，为干预肿瘤迁移提供重要的分子靶标；（</w:t>
            </w:r>
            <w:r w:rsidR="005B7CD8" w:rsidRPr="005E0619">
              <w:rPr>
                <w:rFonts w:hint="eastAsia"/>
                <w:szCs w:val="21"/>
              </w:rPr>
              <w:t>4</w:t>
            </w:r>
            <w:r w:rsidR="005B7CD8" w:rsidRPr="005E0619">
              <w:rPr>
                <w:rFonts w:hint="eastAsia"/>
                <w:szCs w:val="21"/>
              </w:rPr>
              <w:t>）</w:t>
            </w:r>
            <w:r w:rsidR="00A7759D" w:rsidRPr="005E0619">
              <w:rPr>
                <w:rFonts w:hint="eastAsia"/>
                <w:szCs w:val="21"/>
              </w:rPr>
              <w:t>首次阐明</w:t>
            </w:r>
            <w:r w:rsidR="008E0A20" w:rsidRPr="005E0619">
              <w:rPr>
                <w:rFonts w:hint="eastAsia"/>
                <w:szCs w:val="21"/>
              </w:rPr>
              <w:t>DNA</w:t>
            </w:r>
            <w:r w:rsidR="00A570F6" w:rsidRPr="005E0619">
              <w:rPr>
                <w:rFonts w:hint="eastAsia"/>
                <w:szCs w:val="21"/>
              </w:rPr>
              <w:t>损伤修复完成时</w:t>
            </w:r>
            <w:r w:rsidR="00A570F6" w:rsidRPr="005E0619">
              <w:rPr>
                <w:rFonts w:hint="eastAsia"/>
                <w:szCs w:val="21"/>
              </w:rPr>
              <w:t>ATM</w:t>
            </w:r>
            <w:r w:rsidR="00A570F6" w:rsidRPr="005E0619">
              <w:rPr>
                <w:rFonts w:hint="eastAsia"/>
                <w:szCs w:val="21"/>
              </w:rPr>
              <w:t>如何解离并且失活</w:t>
            </w:r>
            <w:r w:rsidR="00A7759D" w:rsidRPr="005E0619">
              <w:rPr>
                <w:rFonts w:hint="eastAsia"/>
                <w:szCs w:val="21"/>
              </w:rPr>
              <w:t>的分子机制。为</w:t>
            </w:r>
            <w:r w:rsidR="00C954D4" w:rsidRPr="005E0619">
              <w:rPr>
                <w:rFonts w:hint="eastAsia"/>
                <w:szCs w:val="21"/>
              </w:rPr>
              <w:t>增强肿瘤放疗敏感性</w:t>
            </w:r>
            <w:r w:rsidR="00A7759D" w:rsidRPr="005E0619">
              <w:rPr>
                <w:rFonts w:hint="eastAsia"/>
                <w:szCs w:val="21"/>
              </w:rPr>
              <w:t>提</w:t>
            </w:r>
            <w:r w:rsidR="00A7759D">
              <w:rPr>
                <w:rFonts w:hint="eastAsia"/>
                <w:szCs w:val="21"/>
              </w:rPr>
              <w:t>供了重要靶点与理论依据</w:t>
            </w:r>
            <w:r w:rsidR="00C954D4" w:rsidRPr="00C954D4">
              <w:rPr>
                <w:rFonts w:hint="eastAsia"/>
                <w:szCs w:val="21"/>
              </w:rPr>
              <w:t>。</w:t>
            </w:r>
            <w:r w:rsidR="009D062C">
              <w:rPr>
                <w:rFonts w:hint="eastAsia"/>
                <w:szCs w:val="21"/>
              </w:rPr>
              <w:t>（</w:t>
            </w:r>
            <w:r w:rsidR="009D062C">
              <w:rPr>
                <w:rFonts w:hint="eastAsia"/>
                <w:szCs w:val="21"/>
              </w:rPr>
              <w:t>5</w:t>
            </w:r>
            <w:r w:rsidR="009D062C">
              <w:rPr>
                <w:rFonts w:hint="eastAsia"/>
                <w:szCs w:val="21"/>
              </w:rPr>
              <w:t>）</w:t>
            </w:r>
            <w:r w:rsidR="00DA5EE6" w:rsidRPr="00DA5EE6">
              <w:rPr>
                <w:rFonts w:hint="eastAsia"/>
                <w:szCs w:val="21"/>
              </w:rPr>
              <w:t>首次</w:t>
            </w:r>
            <w:r w:rsidR="009D062C" w:rsidRPr="009D062C">
              <w:rPr>
                <w:rFonts w:hint="eastAsia"/>
                <w:szCs w:val="21"/>
              </w:rPr>
              <w:t>报道重要的组蛋白甲基化修饰酶</w:t>
            </w:r>
            <w:r w:rsidR="009D062C" w:rsidRPr="009D062C">
              <w:rPr>
                <w:rFonts w:hint="eastAsia"/>
                <w:szCs w:val="21"/>
              </w:rPr>
              <w:t>G9a</w:t>
            </w:r>
            <w:r w:rsidR="009D062C" w:rsidRPr="009D062C">
              <w:rPr>
                <w:rFonts w:hint="eastAsia"/>
                <w:szCs w:val="21"/>
              </w:rPr>
              <w:t>在</w:t>
            </w:r>
            <w:r w:rsidR="009D062C" w:rsidRPr="009D062C">
              <w:rPr>
                <w:rFonts w:hint="eastAsia"/>
                <w:szCs w:val="21"/>
              </w:rPr>
              <w:t>DNA</w:t>
            </w:r>
            <w:r w:rsidR="009D062C" w:rsidRPr="009D062C">
              <w:rPr>
                <w:rFonts w:hint="eastAsia"/>
                <w:szCs w:val="21"/>
              </w:rPr>
              <w:t>双链损伤的情况下参与同源重组修复途径的分子机制</w:t>
            </w:r>
            <w:r w:rsidR="009D062C">
              <w:rPr>
                <w:rFonts w:hint="eastAsia"/>
                <w:szCs w:val="21"/>
              </w:rPr>
              <w:t>，</w:t>
            </w:r>
            <w:r w:rsidR="009D062C" w:rsidRPr="009D062C">
              <w:rPr>
                <w:rFonts w:hint="eastAsia"/>
                <w:szCs w:val="21"/>
              </w:rPr>
              <w:t>对于针对</w:t>
            </w:r>
            <w:r w:rsidR="009D062C" w:rsidRPr="009D062C">
              <w:rPr>
                <w:rFonts w:hint="eastAsia"/>
                <w:szCs w:val="21"/>
              </w:rPr>
              <w:t>G9a</w:t>
            </w:r>
            <w:r w:rsidR="009D062C" w:rsidRPr="009D062C">
              <w:rPr>
                <w:rFonts w:hint="eastAsia"/>
                <w:szCs w:val="21"/>
              </w:rPr>
              <w:t>研发靶向抑制剂治疗肿瘤有重要的提示意义。</w:t>
            </w:r>
          </w:p>
          <w:p w14:paraId="16E56EA5" w14:textId="359F0F61" w:rsidR="00EB5509" w:rsidRDefault="00C967FE">
            <w:pPr>
              <w:spacing w:beforeLines="50" w:before="156" w:afterLines="50" w:after="156" w:line="24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学术影响：本项目阐明了多种</w:t>
            </w:r>
            <w:r w:rsidR="00A848CE">
              <w:rPr>
                <w:rFonts w:hint="eastAsia"/>
                <w:szCs w:val="21"/>
              </w:rPr>
              <w:t>组蛋白修饰</w:t>
            </w:r>
            <w:r>
              <w:rPr>
                <w:rFonts w:hint="eastAsia"/>
                <w:szCs w:val="21"/>
              </w:rPr>
              <w:t>酶</w:t>
            </w:r>
            <w:r w:rsidR="00E96948">
              <w:rPr>
                <w:rFonts w:hint="eastAsia"/>
                <w:szCs w:val="21"/>
              </w:rPr>
              <w:t>类</w:t>
            </w:r>
            <w:r>
              <w:rPr>
                <w:rFonts w:hint="eastAsia"/>
                <w:szCs w:val="21"/>
              </w:rPr>
              <w:t>调控肿瘤细胞命运抉择的分子机制，获得了国内外同行的广泛关注与高度认可。</w:t>
            </w:r>
            <w:r w:rsidR="00512C97">
              <w:rPr>
                <w:rFonts w:hint="eastAsia"/>
                <w:szCs w:val="21"/>
              </w:rPr>
              <w:t>因</w:t>
            </w:r>
            <w:r w:rsidR="00512C97" w:rsidRPr="00512C97">
              <w:rPr>
                <w:rFonts w:hint="eastAsia"/>
                <w:szCs w:val="21"/>
              </w:rPr>
              <w:t>发现</w:t>
            </w:r>
            <w:r w:rsidR="00512C97">
              <w:rPr>
                <w:rFonts w:hint="eastAsia"/>
                <w:szCs w:val="21"/>
              </w:rPr>
              <w:t>自噬蛋白</w:t>
            </w:r>
            <w:r w:rsidR="00512C97" w:rsidRPr="00512C97">
              <w:rPr>
                <w:rFonts w:hint="eastAsia"/>
                <w:szCs w:val="21"/>
              </w:rPr>
              <w:t>p62</w:t>
            </w:r>
            <w:r w:rsidR="00512C97" w:rsidRPr="00512C97">
              <w:rPr>
                <w:rFonts w:hint="eastAsia"/>
                <w:szCs w:val="21"/>
              </w:rPr>
              <w:t>蛋白</w:t>
            </w:r>
            <w:proofErr w:type="gramStart"/>
            <w:r w:rsidR="003B12C9">
              <w:rPr>
                <w:rFonts w:hint="eastAsia"/>
                <w:szCs w:val="21"/>
              </w:rPr>
              <w:t>介</w:t>
            </w:r>
            <w:proofErr w:type="gramEnd"/>
            <w:r w:rsidR="003B12C9">
              <w:rPr>
                <w:rFonts w:hint="eastAsia"/>
                <w:szCs w:val="21"/>
              </w:rPr>
              <w:t>导的自噬与</w:t>
            </w:r>
            <w:r w:rsidR="003B12C9">
              <w:rPr>
                <w:rFonts w:hint="eastAsia"/>
                <w:szCs w:val="21"/>
              </w:rPr>
              <w:t>DNA</w:t>
            </w:r>
            <w:r w:rsidR="003B12C9">
              <w:rPr>
                <w:rFonts w:hint="eastAsia"/>
                <w:szCs w:val="21"/>
              </w:rPr>
              <w:t>损伤应答之间的对话机制、</w:t>
            </w:r>
            <w:r w:rsidR="00473ED0">
              <w:rPr>
                <w:rFonts w:hint="eastAsia"/>
                <w:szCs w:val="21"/>
              </w:rPr>
              <w:t>S</w:t>
            </w:r>
            <w:r w:rsidR="00473ED0">
              <w:rPr>
                <w:szCs w:val="21"/>
              </w:rPr>
              <w:t>IRT7</w:t>
            </w:r>
            <w:r w:rsidR="00512C97" w:rsidRPr="00512C97">
              <w:rPr>
                <w:rFonts w:hint="eastAsia"/>
                <w:szCs w:val="21"/>
              </w:rPr>
              <w:t>调控</w:t>
            </w:r>
            <w:r w:rsidR="003B12C9">
              <w:rPr>
                <w:rFonts w:hint="eastAsia"/>
                <w:szCs w:val="21"/>
              </w:rPr>
              <w:t>ATM</w:t>
            </w:r>
            <w:r w:rsidR="003B12C9">
              <w:rPr>
                <w:rFonts w:hint="eastAsia"/>
                <w:szCs w:val="21"/>
              </w:rPr>
              <w:t>在</w:t>
            </w:r>
            <w:r w:rsidR="003B12C9">
              <w:rPr>
                <w:rFonts w:hint="eastAsia"/>
                <w:szCs w:val="21"/>
              </w:rPr>
              <w:t>DNA</w:t>
            </w:r>
            <w:r w:rsidR="003B12C9">
              <w:rPr>
                <w:rFonts w:hint="eastAsia"/>
                <w:szCs w:val="21"/>
              </w:rPr>
              <w:t>修复完成后的失活机制、</w:t>
            </w:r>
            <w:r w:rsidR="003B12C9">
              <w:rPr>
                <w:rFonts w:hint="eastAsia"/>
                <w:szCs w:val="21"/>
              </w:rPr>
              <w:t>G</w:t>
            </w:r>
            <w:r w:rsidR="003B12C9">
              <w:rPr>
                <w:szCs w:val="21"/>
              </w:rPr>
              <w:t>9a</w:t>
            </w:r>
            <w:proofErr w:type="gramStart"/>
            <w:r w:rsidR="003B12C9">
              <w:rPr>
                <w:rFonts w:hint="eastAsia"/>
                <w:szCs w:val="21"/>
              </w:rPr>
              <w:t>介</w:t>
            </w:r>
            <w:proofErr w:type="gramEnd"/>
            <w:r w:rsidR="003B12C9">
              <w:rPr>
                <w:rFonts w:hint="eastAsia"/>
                <w:szCs w:val="21"/>
              </w:rPr>
              <w:t>导染色质重塑促进</w:t>
            </w:r>
            <w:r w:rsidR="003B12C9">
              <w:rPr>
                <w:rFonts w:hint="eastAsia"/>
                <w:szCs w:val="21"/>
              </w:rPr>
              <w:t>DNA</w:t>
            </w:r>
            <w:r w:rsidR="003B12C9">
              <w:rPr>
                <w:rFonts w:hint="eastAsia"/>
                <w:szCs w:val="21"/>
              </w:rPr>
              <w:t>损伤应答机制</w:t>
            </w:r>
            <w:r w:rsidR="00512C97" w:rsidRPr="00512C97">
              <w:rPr>
                <w:rFonts w:hint="eastAsia"/>
                <w:szCs w:val="21"/>
              </w:rPr>
              <w:t>，被美国著名分子生物学家</w:t>
            </w:r>
            <w:r w:rsidR="00512C97" w:rsidRPr="00512C97">
              <w:rPr>
                <w:rFonts w:hint="eastAsia"/>
                <w:szCs w:val="21"/>
              </w:rPr>
              <w:t xml:space="preserve">Beth Levine, Lorenzo </w:t>
            </w:r>
            <w:proofErr w:type="spellStart"/>
            <w:r w:rsidR="00512C97" w:rsidRPr="00512C97">
              <w:rPr>
                <w:rFonts w:hint="eastAsia"/>
                <w:szCs w:val="21"/>
              </w:rPr>
              <w:t>Galluzzi</w:t>
            </w:r>
            <w:proofErr w:type="spellEnd"/>
            <w:r w:rsidR="00512C97" w:rsidRPr="00512C97">
              <w:rPr>
                <w:rFonts w:hint="eastAsia"/>
                <w:szCs w:val="21"/>
              </w:rPr>
              <w:t>以及国际知名表观遗传学家</w:t>
            </w:r>
            <w:r w:rsidR="00512C97" w:rsidRPr="00512C97">
              <w:rPr>
                <w:rFonts w:hint="eastAsia"/>
                <w:szCs w:val="21"/>
              </w:rPr>
              <w:t xml:space="preserve">Danny </w:t>
            </w:r>
            <w:proofErr w:type="spellStart"/>
            <w:r w:rsidR="00512C97" w:rsidRPr="00512C97">
              <w:rPr>
                <w:rFonts w:hint="eastAsia"/>
                <w:szCs w:val="21"/>
              </w:rPr>
              <w:t>Reinberg</w:t>
            </w:r>
            <w:proofErr w:type="spellEnd"/>
            <w:r w:rsidR="003B12C9">
              <w:rPr>
                <w:rFonts w:hint="eastAsia"/>
                <w:szCs w:val="21"/>
              </w:rPr>
              <w:t>等</w:t>
            </w:r>
            <w:r w:rsidR="00512C97" w:rsidRPr="00512C97">
              <w:rPr>
                <w:rFonts w:hint="eastAsia"/>
                <w:szCs w:val="21"/>
              </w:rPr>
              <w:t>在</w:t>
            </w:r>
            <w:r w:rsidR="00512C97" w:rsidRPr="00512C97">
              <w:rPr>
                <w:rFonts w:hint="eastAsia"/>
                <w:szCs w:val="21"/>
              </w:rPr>
              <w:t xml:space="preserve">Cell, </w:t>
            </w:r>
            <w:r w:rsidR="00473ED0">
              <w:rPr>
                <w:szCs w:val="21"/>
              </w:rPr>
              <w:t xml:space="preserve">Nature Reviews Cardiology, </w:t>
            </w:r>
            <w:r w:rsidR="00512C97" w:rsidRPr="00512C97">
              <w:rPr>
                <w:rFonts w:hint="eastAsia"/>
                <w:szCs w:val="21"/>
              </w:rPr>
              <w:t>Nature Cell Biology</w:t>
            </w:r>
            <w:r w:rsidR="00512C97" w:rsidRPr="00512C97">
              <w:rPr>
                <w:rFonts w:hint="eastAsia"/>
                <w:szCs w:val="21"/>
              </w:rPr>
              <w:t>等国际权威杂志的多篇综述中重点引用</w:t>
            </w:r>
            <w:r w:rsidR="005E0619">
              <w:rPr>
                <w:rFonts w:hint="eastAsia"/>
                <w:szCs w:val="21"/>
              </w:rPr>
              <w:t>与高度评价</w:t>
            </w:r>
            <w:r>
              <w:rPr>
                <w:rFonts w:hint="eastAsia"/>
                <w:szCs w:val="21"/>
              </w:rPr>
              <w:t>，</w:t>
            </w:r>
            <w:r w:rsidR="00512C97" w:rsidRPr="00512C97">
              <w:rPr>
                <w:rFonts w:hint="eastAsia"/>
                <w:szCs w:val="21"/>
              </w:rPr>
              <w:t>启发国际同行发现</w:t>
            </w:r>
            <w:r w:rsidR="00512C97" w:rsidRPr="00512C97">
              <w:rPr>
                <w:rFonts w:hint="eastAsia"/>
                <w:szCs w:val="21"/>
              </w:rPr>
              <w:t>p62</w:t>
            </w:r>
            <w:r w:rsidR="00512C97" w:rsidRPr="00512C97">
              <w:rPr>
                <w:rFonts w:hint="eastAsia"/>
                <w:szCs w:val="21"/>
              </w:rPr>
              <w:t>积累导致的</w:t>
            </w:r>
            <w:r w:rsidR="00512C97" w:rsidRPr="00512C97">
              <w:rPr>
                <w:rFonts w:hint="eastAsia"/>
                <w:szCs w:val="21"/>
              </w:rPr>
              <w:t>DNA</w:t>
            </w:r>
            <w:r w:rsidR="00512C97" w:rsidRPr="00512C97">
              <w:rPr>
                <w:rFonts w:hint="eastAsia"/>
                <w:szCs w:val="21"/>
              </w:rPr>
              <w:t>修复缺陷是肌萎缩侧索硬化症的致病机理，在</w:t>
            </w:r>
            <w:r w:rsidR="00512C97" w:rsidRPr="00512C97">
              <w:rPr>
                <w:rFonts w:hint="eastAsia"/>
                <w:szCs w:val="21"/>
              </w:rPr>
              <w:t xml:space="preserve">Nature Neuroscience </w:t>
            </w:r>
            <w:r w:rsidR="00512C97" w:rsidRPr="00512C97">
              <w:rPr>
                <w:rFonts w:hint="eastAsia"/>
                <w:szCs w:val="21"/>
              </w:rPr>
              <w:t>发表。</w:t>
            </w:r>
            <w:r w:rsidR="002C4D93">
              <w:rPr>
                <w:rFonts w:hint="eastAsia"/>
                <w:szCs w:val="21"/>
              </w:rPr>
              <w:t>本项目</w:t>
            </w:r>
            <w:r w:rsidR="00123EEE">
              <w:rPr>
                <w:rFonts w:hint="eastAsia"/>
                <w:szCs w:val="21"/>
              </w:rPr>
              <w:t>获得</w:t>
            </w:r>
            <w:r w:rsidR="00123EEE" w:rsidRPr="00123EEE">
              <w:rPr>
                <w:rFonts w:hint="eastAsia"/>
                <w:szCs w:val="21"/>
              </w:rPr>
              <w:t>国家重点研发计划“参与</w:t>
            </w:r>
            <w:r w:rsidR="00123EEE" w:rsidRPr="00123EEE">
              <w:rPr>
                <w:rFonts w:hint="eastAsia"/>
                <w:szCs w:val="21"/>
              </w:rPr>
              <w:t>DNA</w:t>
            </w:r>
            <w:r w:rsidR="00123EEE" w:rsidRPr="00123EEE">
              <w:rPr>
                <w:rFonts w:hint="eastAsia"/>
                <w:szCs w:val="21"/>
              </w:rPr>
              <w:t>损伤应答的新型蛋白质机器维持基因组稳定性的机制研究”</w:t>
            </w:r>
            <w:r w:rsidR="002C4D93">
              <w:rPr>
                <w:rFonts w:hint="eastAsia"/>
                <w:szCs w:val="21"/>
              </w:rPr>
              <w:t>的</w:t>
            </w:r>
            <w:r w:rsidR="00123EEE">
              <w:rPr>
                <w:rFonts w:hint="eastAsia"/>
                <w:szCs w:val="21"/>
              </w:rPr>
              <w:t>支持</w:t>
            </w:r>
            <w:r w:rsidR="00123EEE" w:rsidRPr="00123EEE">
              <w:rPr>
                <w:rFonts w:hint="eastAsia"/>
                <w:szCs w:val="21"/>
              </w:rPr>
              <w:t>，</w:t>
            </w:r>
            <w:r w:rsidR="002C4D93">
              <w:rPr>
                <w:rFonts w:hint="eastAsia"/>
                <w:szCs w:val="21"/>
              </w:rPr>
              <w:t>创建了</w:t>
            </w:r>
            <w:r w:rsidR="00123EEE" w:rsidRPr="00123EEE">
              <w:rPr>
                <w:rFonts w:hint="eastAsia"/>
                <w:szCs w:val="21"/>
              </w:rPr>
              <w:t>广东省基因组稳定性与疾病防治重点实验室</w:t>
            </w:r>
            <w:r w:rsidR="002C4D93">
              <w:rPr>
                <w:rFonts w:hint="eastAsia"/>
                <w:szCs w:val="21"/>
              </w:rPr>
              <w:t>，培养国家杰青、优青、青年长江学者共</w:t>
            </w:r>
            <w:r w:rsidR="002C4D93">
              <w:rPr>
                <w:rFonts w:hint="eastAsia"/>
                <w:szCs w:val="21"/>
              </w:rPr>
              <w:t>2</w:t>
            </w:r>
            <w:r w:rsidR="002C4D93">
              <w:rPr>
                <w:rFonts w:hint="eastAsia"/>
                <w:szCs w:val="21"/>
              </w:rPr>
              <w:t>人</w:t>
            </w:r>
            <w:r w:rsidR="00123EEE" w:rsidRPr="00123EEE">
              <w:rPr>
                <w:rFonts w:hint="eastAsia"/>
                <w:szCs w:val="21"/>
              </w:rPr>
              <w:t>。</w:t>
            </w:r>
            <w:r w:rsidR="00123EEE">
              <w:rPr>
                <w:rFonts w:hint="eastAsia"/>
                <w:szCs w:val="21"/>
              </w:rPr>
              <w:t>第一</w:t>
            </w:r>
            <w:r w:rsidR="00123EEE" w:rsidRPr="00123EEE">
              <w:rPr>
                <w:rFonts w:hint="eastAsia"/>
                <w:szCs w:val="21"/>
              </w:rPr>
              <w:t>完成人受邀在英国国际放射生物学大会及日本癌症学会（</w:t>
            </w:r>
            <w:r w:rsidR="00123EEE" w:rsidRPr="00123EEE">
              <w:rPr>
                <w:rFonts w:hint="eastAsia"/>
                <w:szCs w:val="21"/>
              </w:rPr>
              <w:t>JCA</w:t>
            </w:r>
            <w:r w:rsidR="00123EEE" w:rsidRPr="00123EEE">
              <w:rPr>
                <w:rFonts w:hint="eastAsia"/>
                <w:szCs w:val="21"/>
              </w:rPr>
              <w:t>）</w:t>
            </w:r>
            <w:proofErr w:type="gramStart"/>
            <w:r w:rsidR="00123EEE" w:rsidRPr="00123EEE">
              <w:rPr>
                <w:rFonts w:hint="eastAsia"/>
                <w:szCs w:val="21"/>
              </w:rPr>
              <w:t>作主</w:t>
            </w:r>
            <w:proofErr w:type="gramEnd"/>
            <w:r w:rsidR="00123EEE" w:rsidRPr="00123EEE">
              <w:rPr>
                <w:rFonts w:hint="eastAsia"/>
                <w:szCs w:val="21"/>
              </w:rPr>
              <w:t>旨演讲</w:t>
            </w:r>
            <w:r w:rsidR="002C4D93">
              <w:rPr>
                <w:rFonts w:hint="eastAsia"/>
                <w:szCs w:val="21"/>
              </w:rPr>
              <w:t>并</w:t>
            </w:r>
            <w:r w:rsidR="002C4D93" w:rsidRPr="00123EEE">
              <w:rPr>
                <w:rFonts w:hint="eastAsia"/>
                <w:szCs w:val="21"/>
              </w:rPr>
              <w:t>获</w:t>
            </w:r>
            <w:r w:rsidR="002C4D93" w:rsidRPr="00123EEE">
              <w:rPr>
                <w:rFonts w:hint="eastAsia"/>
                <w:szCs w:val="21"/>
              </w:rPr>
              <w:t>JCA</w:t>
            </w:r>
            <w:r w:rsidR="002C4D93" w:rsidRPr="00123EEE">
              <w:rPr>
                <w:rFonts w:hint="eastAsia"/>
                <w:szCs w:val="21"/>
              </w:rPr>
              <w:t>国际肿瘤研究贡献奖</w:t>
            </w:r>
            <w:r w:rsidR="00123EEE" w:rsidRPr="00123EEE">
              <w:rPr>
                <w:rFonts w:hint="eastAsia"/>
                <w:szCs w:val="21"/>
              </w:rPr>
              <w:t>，创办</w:t>
            </w:r>
            <w:r w:rsidR="00123EEE" w:rsidRPr="00123EEE">
              <w:rPr>
                <w:rFonts w:hint="eastAsia"/>
                <w:szCs w:val="21"/>
              </w:rPr>
              <w:t>Genome Instability &amp; Disease</w:t>
            </w:r>
            <w:r w:rsidR="003B12C9" w:rsidRPr="00123EEE">
              <w:rPr>
                <w:rFonts w:hint="eastAsia"/>
                <w:szCs w:val="21"/>
              </w:rPr>
              <w:t>国际期刊</w:t>
            </w:r>
            <w:r w:rsidR="00123EEE" w:rsidRPr="00123EEE">
              <w:rPr>
                <w:rFonts w:hint="eastAsia"/>
                <w:szCs w:val="21"/>
              </w:rPr>
              <w:t>。</w:t>
            </w:r>
          </w:p>
        </w:tc>
      </w:tr>
      <w:tr w:rsidR="009B6C7C" w14:paraId="5F75C8F4" w14:textId="77777777" w:rsidTr="005F1F49">
        <w:trPr>
          <w:trHeight w:val="3681"/>
          <w:jc w:val="center"/>
        </w:trPr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 w14:paraId="78280468" w14:textId="77777777" w:rsidR="009B6C7C" w:rsidRDefault="009B6C7C" w:rsidP="00C016BB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lastRenderedPageBreak/>
              <w:t>主要完成人情况表</w:t>
            </w:r>
          </w:p>
        </w:tc>
        <w:tc>
          <w:tcPr>
            <w:tcW w:w="8686" w:type="dxa"/>
            <w:gridSpan w:val="3"/>
            <w:tcBorders>
              <w:tl2br w:val="nil"/>
              <w:tr2bl w:val="nil"/>
            </w:tcBorders>
          </w:tcPr>
          <w:p w14:paraId="323DF6CE" w14:textId="77777777" w:rsidR="009B6C7C" w:rsidRPr="005E0619" w:rsidRDefault="009B6C7C" w:rsidP="00C016BB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5E0619">
              <w:rPr>
                <w:b/>
                <w:bCs/>
                <w:szCs w:val="21"/>
              </w:rPr>
              <w:t>（包括：排名、姓名、技术职称、工作单位、完成单位、对本项目重要科学发现的贡献）</w:t>
            </w:r>
          </w:p>
          <w:p w14:paraId="0E31FB68" w14:textId="77777777" w:rsidR="00A75C39" w:rsidRPr="005E0619" w:rsidRDefault="00A75C39" w:rsidP="00A75C39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FangSong" w:eastAsia="FangSong" w:hAnsi="FangSong"/>
              </w:rPr>
            </w:pPr>
            <w:r w:rsidRPr="005E0619">
              <w:rPr>
                <w:rFonts w:ascii="FangSong" w:eastAsia="FangSong" w:hAnsi="FangSong" w:hint="eastAsia"/>
              </w:rPr>
              <w:t>朱卫国</w:t>
            </w:r>
          </w:p>
          <w:p w14:paraId="2E866B98" w14:textId="2DF1FF9E" w:rsidR="009B6C7C" w:rsidRPr="005E0619" w:rsidRDefault="00A75C39" w:rsidP="00A75C39">
            <w:pPr>
              <w:spacing w:line="240" w:lineRule="exact"/>
              <w:rPr>
                <w:rFonts w:ascii="FangSong" w:eastAsia="FangSong" w:hAnsi="FangSong"/>
              </w:rPr>
            </w:pPr>
            <w:r w:rsidRPr="005E0619">
              <w:rPr>
                <w:rFonts w:ascii="FangSong" w:eastAsia="FangSong" w:hAnsi="FangSong" w:hint="eastAsia"/>
              </w:rPr>
              <w:t>职称：教授；工作单位：深圳大学；完成单位：深圳大学；主要贡献：作为通讯</w:t>
            </w:r>
            <w:r w:rsidR="00CE6216" w:rsidRPr="005E0619">
              <w:rPr>
                <w:rFonts w:ascii="FangSong" w:eastAsia="FangSong" w:hAnsi="FangSong" w:hint="eastAsia"/>
              </w:rPr>
              <w:t>、</w:t>
            </w:r>
            <w:r w:rsidRPr="005E0619">
              <w:rPr>
                <w:rFonts w:ascii="FangSong" w:eastAsia="FangSong" w:hAnsi="FangSong" w:hint="eastAsia"/>
              </w:rPr>
              <w:t>共同通讯</w:t>
            </w:r>
            <w:r w:rsidR="00CE6216" w:rsidRPr="005E0619">
              <w:rPr>
                <w:rFonts w:ascii="FangSong" w:eastAsia="FangSong" w:hAnsi="FangSong" w:hint="eastAsia"/>
              </w:rPr>
              <w:t>、共同</w:t>
            </w:r>
            <w:r w:rsidRPr="005E0619">
              <w:rPr>
                <w:rFonts w:ascii="FangSong" w:eastAsia="FangSong" w:hAnsi="FangSong" w:hint="eastAsia"/>
              </w:rPr>
              <w:t>作者指导了第1、2、3、</w:t>
            </w:r>
            <w:r w:rsidR="00D71349" w:rsidRPr="005E0619">
              <w:rPr>
                <w:rFonts w:ascii="FangSong" w:eastAsia="FangSong" w:hAnsi="FangSong" w:hint="eastAsia"/>
              </w:rPr>
              <w:t>4、</w:t>
            </w:r>
            <w:r w:rsidRPr="005E0619">
              <w:rPr>
                <w:rFonts w:ascii="FangSong" w:eastAsia="FangSong" w:hAnsi="FangSong" w:hint="eastAsia"/>
              </w:rPr>
              <w:t>5项工作（代表性论文）的完成，阐明了</w:t>
            </w:r>
            <w:r w:rsidR="00CE6216" w:rsidRPr="005E0619">
              <w:rPr>
                <w:rFonts w:ascii="FangSong" w:eastAsia="FangSong" w:hAnsi="FangSong" w:hint="eastAsia"/>
              </w:rPr>
              <w:t>自噬关键分子p</w:t>
            </w:r>
            <w:r w:rsidR="00CE6216" w:rsidRPr="005E0619">
              <w:rPr>
                <w:rFonts w:ascii="FangSong" w:eastAsia="FangSong" w:hAnsi="FangSong"/>
              </w:rPr>
              <w:t>62</w:t>
            </w:r>
            <w:r w:rsidR="00CE6216" w:rsidRPr="005E0619">
              <w:rPr>
                <w:rFonts w:ascii="FangSong" w:eastAsia="FangSong" w:hAnsi="FangSong" w:hint="eastAsia"/>
              </w:rPr>
              <w:t>调控DNA损伤应答的机制，</w:t>
            </w:r>
            <w:r w:rsidR="000D495E">
              <w:rPr>
                <w:rFonts w:ascii="FangSong" w:eastAsia="FangSong" w:hAnsi="FangSong" w:hint="eastAsia"/>
              </w:rPr>
              <w:t>揭示</w:t>
            </w:r>
            <w:r w:rsidR="00CE6216" w:rsidRPr="005E0619">
              <w:rPr>
                <w:rFonts w:ascii="FangSong" w:eastAsia="FangSong" w:hAnsi="FangSong" w:hint="eastAsia"/>
              </w:rPr>
              <w:t>DNA修复完成后SIRT</w:t>
            </w:r>
            <w:r w:rsidR="00CE6216" w:rsidRPr="005E0619">
              <w:rPr>
                <w:rFonts w:ascii="FangSong" w:eastAsia="FangSong" w:hAnsi="FangSong"/>
              </w:rPr>
              <w:t>7</w:t>
            </w:r>
            <w:proofErr w:type="gramStart"/>
            <w:r w:rsidR="00CE6216" w:rsidRPr="005E0619">
              <w:rPr>
                <w:rFonts w:ascii="FangSong" w:eastAsia="FangSong" w:hAnsi="FangSong" w:hint="eastAsia"/>
              </w:rPr>
              <w:t>介</w:t>
            </w:r>
            <w:proofErr w:type="gramEnd"/>
            <w:r w:rsidR="00CE6216" w:rsidRPr="005E0619">
              <w:rPr>
                <w:rFonts w:ascii="FangSong" w:eastAsia="FangSong" w:hAnsi="FangSong" w:hint="eastAsia"/>
              </w:rPr>
              <w:t>导ATM失活的机制，</w:t>
            </w:r>
            <w:r w:rsidR="00731020">
              <w:rPr>
                <w:rFonts w:ascii="FangSong" w:eastAsia="FangSong" w:hAnsi="FangSong" w:hint="eastAsia"/>
              </w:rPr>
              <w:t>阐明</w:t>
            </w:r>
            <w:r w:rsidR="000D495E" w:rsidRPr="000D495E">
              <w:rPr>
                <w:rFonts w:ascii="FangSong" w:eastAsia="FangSong" w:hAnsi="FangSong" w:hint="eastAsia"/>
              </w:rPr>
              <w:t>组蛋白甲基化修饰酶G9a在DNA双链损伤的情况下参与同源重组修复途径的分子机制</w:t>
            </w:r>
            <w:r w:rsidR="000D495E">
              <w:rPr>
                <w:rFonts w:ascii="FangSong" w:eastAsia="FangSong" w:hAnsi="FangSong" w:hint="eastAsia"/>
              </w:rPr>
              <w:t>，</w:t>
            </w:r>
            <w:r w:rsidR="00CE6216" w:rsidRPr="005E0619">
              <w:rPr>
                <w:rFonts w:ascii="FangSong" w:eastAsia="FangSong" w:hAnsi="FangSong" w:hint="eastAsia"/>
              </w:rPr>
              <w:t>为靶向肿瘤放化疗敏感性提供理论依据。</w:t>
            </w:r>
          </w:p>
          <w:p w14:paraId="49E1817D" w14:textId="77777777" w:rsidR="00D71349" w:rsidRPr="005E0619" w:rsidRDefault="00D71349" w:rsidP="00D71349">
            <w:pPr>
              <w:pStyle w:val="a5"/>
              <w:numPr>
                <w:ilvl w:val="0"/>
                <w:numId w:val="3"/>
              </w:numPr>
              <w:adjustRightInd w:val="0"/>
              <w:snapToGrid w:val="0"/>
              <w:ind w:firstLineChars="0"/>
              <w:jc w:val="left"/>
              <w:rPr>
                <w:rFonts w:ascii="FangSong" w:eastAsia="FangSong" w:hAnsi="FangSong"/>
              </w:rPr>
            </w:pPr>
            <w:r w:rsidRPr="005E0619">
              <w:rPr>
                <w:rFonts w:ascii="FangSong" w:eastAsia="FangSong" w:hAnsi="FangSong" w:hint="eastAsia"/>
              </w:rPr>
              <w:t>赵颖</w:t>
            </w:r>
          </w:p>
          <w:p w14:paraId="64986E46" w14:textId="1F26CC71" w:rsidR="00D71349" w:rsidRPr="005E0619" w:rsidRDefault="00D71349" w:rsidP="00A75C39">
            <w:pPr>
              <w:spacing w:line="240" w:lineRule="exact"/>
              <w:rPr>
                <w:rFonts w:ascii="FangSong" w:eastAsia="FangSong" w:hAnsi="FangSong"/>
              </w:rPr>
            </w:pPr>
            <w:r w:rsidRPr="005E0619">
              <w:rPr>
                <w:rFonts w:ascii="FangSong" w:eastAsia="FangSong" w:hAnsi="FangSong" w:hint="eastAsia"/>
              </w:rPr>
              <w:t>职称：教授；工作单位：北京大学；完成单位：北京大学；主要贡献：作为共同通讯作者指导了第1项工作（代表性论文）的完成，解析了自噬关键分子p62调控DNA损伤应答的机制。</w:t>
            </w:r>
            <w:r w:rsidR="006C3940" w:rsidRPr="006C3940">
              <w:rPr>
                <w:rFonts w:ascii="FangSong" w:eastAsia="FangSong" w:hAnsi="FangSong" w:hint="eastAsia"/>
              </w:rPr>
              <w:t>作为共同作者参与了第5项工作（代表性论文）</w:t>
            </w:r>
            <w:r w:rsidR="006C3940">
              <w:rPr>
                <w:rFonts w:ascii="FangSong" w:eastAsia="FangSong" w:hAnsi="FangSong" w:hint="eastAsia"/>
              </w:rPr>
              <w:t>。</w:t>
            </w:r>
          </w:p>
          <w:p w14:paraId="75DA8380" w14:textId="5EF70199" w:rsidR="00A75C39" w:rsidRPr="005E0619" w:rsidRDefault="00A75C39" w:rsidP="00BA0B43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left"/>
              <w:rPr>
                <w:rFonts w:ascii="FangSong" w:eastAsia="FangSong" w:hAnsi="FangSong" w:cs="宋体"/>
              </w:rPr>
            </w:pPr>
            <w:r w:rsidRPr="005E0619">
              <w:rPr>
                <w:rFonts w:ascii="FangSong" w:eastAsia="FangSong" w:hAnsi="FangSong" w:cs="宋体" w:hint="eastAsia"/>
              </w:rPr>
              <w:t>刘宝华</w:t>
            </w:r>
          </w:p>
          <w:p w14:paraId="5AF3CB2C" w14:textId="2A14266E" w:rsidR="00A75C39" w:rsidRPr="005E0619" w:rsidRDefault="00A75C39" w:rsidP="00A75C39">
            <w:pPr>
              <w:spacing w:line="240" w:lineRule="exact"/>
              <w:rPr>
                <w:szCs w:val="21"/>
              </w:rPr>
            </w:pPr>
            <w:r w:rsidRPr="005E0619">
              <w:rPr>
                <w:rFonts w:ascii="FangSong" w:eastAsia="FangSong" w:hAnsi="FangSong" w:hint="eastAsia"/>
              </w:rPr>
              <w:t>职称：教授；工作单位：深圳大学；完成单位：深圳大学；主要贡献：作为通讯作者指导了第</w:t>
            </w:r>
            <w:r w:rsidR="006C3940" w:rsidRPr="006C3940">
              <w:rPr>
                <w:rFonts w:ascii="FangSong" w:eastAsia="FangSong" w:hAnsi="FangSong" w:hint="eastAsia"/>
              </w:rPr>
              <w:t>3</w:t>
            </w:r>
            <w:r w:rsidRPr="005E0619">
              <w:rPr>
                <w:rFonts w:ascii="FangSong" w:eastAsia="FangSong" w:hAnsi="FangSong" w:hint="eastAsia"/>
              </w:rPr>
              <w:t>项工作（代表性论文）的完成，发现SIRT7是</w:t>
            </w:r>
            <w:r w:rsidR="00CE6216" w:rsidRPr="005E0619">
              <w:rPr>
                <w:rFonts w:ascii="FangSong" w:eastAsia="FangSong" w:hAnsi="FangSong" w:hint="eastAsia"/>
              </w:rPr>
              <w:t>调控TGFｂ信号通路的关键分子</w:t>
            </w:r>
            <w:r w:rsidRPr="005E0619">
              <w:rPr>
                <w:rFonts w:ascii="FangSong" w:eastAsia="FangSong" w:hAnsi="FangSong" w:hint="eastAsia"/>
              </w:rPr>
              <w:t>，提出了新的肿瘤治疗策略。</w:t>
            </w:r>
            <w:r w:rsidR="00D71349" w:rsidRPr="005E0619">
              <w:rPr>
                <w:rFonts w:ascii="FangSong" w:eastAsia="FangSong" w:hAnsi="FangSong" w:hint="eastAsia"/>
              </w:rPr>
              <w:t>作为共同作者参与了第</w:t>
            </w:r>
            <w:r w:rsidR="00731020">
              <w:rPr>
                <w:rFonts w:ascii="FangSong" w:eastAsia="FangSong" w:hAnsi="FangSong"/>
              </w:rPr>
              <w:t>4</w:t>
            </w:r>
            <w:r w:rsidR="00D71349" w:rsidRPr="005E0619">
              <w:rPr>
                <w:rFonts w:ascii="FangSong" w:eastAsia="FangSong" w:hAnsi="FangSong" w:hint="eastAsia"/>
              </w:rPr>
              <w:t>项工作（代表性论文）。</w:t>
            </w:r>
          </w:p>
          <w:p w14:paraId="638396EA" w14:textId="77777777" w:rsidR="003D2A5E" w:rsidRPr="005E0619" w:rsidRDefault="003D2A5E" w:rsidP="003D2A5E">
            <w:pPr>
              <w:spacing w:line="240" w:lineRule="exact"/>
              <w:rPr>
                <w:rFonts w:ascii="FangSong" w:eastAsia="FangSong" w:hAnsi="FangSong"/>
              </w:rPr>
            </w:pPr>
            <w:r w:rsidRPr="005E0619">
              <w:rPr>
                <w:rFonts w:ascii="FangSong" w:eastAsia="FangSong" w:hAnsi="FangSong" w:hint="eastAsia"/>
              </w:rPr>
              <w:t>4、罗建沅</w:t>
            </w:r>
          </w:p>
          <w:p w14:paraId="4A418C96" w14:textId="541AEE17" w:rsidR="003D2A5E" w:rsidRPr="005E0619" w:rsidRDefault="003D2A5E" w:rsidP="003D2A5E">
            <w:pPr>
              <w:spacing w:line="240" w:lineRule="exact"/>
              <w:rPr>
                <w:rFonts w:ascii="FangSong" w:eastAsia="FangSong" w:hAnsi="FangSong"/>
              </w:rPr>
            </w:pPr>
            <w:r w:rsidRPr="005E0619">
              <w:rPr>
                <w:rFonts w:ascii="FangSong" w:eastAsia="FangSong" w:hAnsi="FangSong" w:hint="eastAsia"/>
              </w:rPr>
              <w:t>职称：教授；工作单位：北京大学；完成单位：北京大学；主要贡献：以责任作者</w:t>
            </w:r>
            <w:r w:rsidR="00CE6216" w:rsidRPr="005E0619">
              <w:rPr>
                <w:rFonts w:ascii="FangSong" w:eastAsia="FangSong" w:hAnsi="FangSong" w:hint="eastAsia"/>
              </w:rPr>
              <w:t>指导</w:t>
            </w:r>
            <w:r w:rsidRPr="005E0619">
              <w:rPr>
                <w:rFonts w:ascii="FangSong" w:eastAsia="FangSong" w:hAnsi="FangSong" w:hint="eastAsia"/>
              </w:rPr>
              <w:t>第</w:t>
            </w:r>
            <w:r w:rsidR="00731020">
              <w:rPr>
                <w:rFonts w:ascii="FangSong" w:eastAsia="FangSong" w:hAnsi="FangSong"/>
              </w:rPr>
              <w:t>2</w:t>
            </w:r>
            <w:r w:rsidRPr="005E0619">
              <w:rPr>
                <w:rFonts w:ascii="FangSong" w:eastAsia="FangSong" w:hAnsi="FangSong" w:hint="eastAsia"/>
              </w:rPr>
              <w:t>项工作(代表性论文)的完成，</w:t>
            </w:r>
            <w:r w:rsidRPr="003461D5">
              <w:rPr>
                <w:rFonts w:ascii="FangSong" w:eastAsia="FangSong" w:hAnsi="FangSong" w:hint="eastAsia"/>
              </w:rPr>
              <w:t>发现了</w:t>
            </w:r>
            <w:r w:rsidR="00AE67EA" w:rsidRPr="003461D5">
              <w:rPr>
                <w:rFonts w:ascii="FangSong" w:eastAsia="FangSong" w:hAnsi="FangSong" w:hint="eastAsia"/>
              </w:rPr>
              <w:t>p300</w:t>
            </w:r>
            <w:proofErr w:type="gramStart"/>
            <w:r w:rsidR="00AE67EA" w:rsidRPr="003461D5">
              <w:rPr>
                <w:rFonts w:ascii="FangSong" w:eastAsia="FangSong" w:hAnsi="FangSong" w:hint="eastAsia"/>
              </w:rPr>
              <w:t>介</w:t>
            </w:r>
            <w:proofErr w:type="gramEnd"/>
            <w:r w:rsidR="00AE67EA" w:rsidRPr="003461D5">
              <w:rPr>
                <w:rFonts w:ascii="FangSong" w:eastAsia="FangSong" w:hAnsi="FangSong" w:hint="eastAsia"/>
              </w:rPr>
              <w:t>导的剪接体蛋白PHF5A乙酰化修饰通过调节KDM3A的选择性剪切在细胞应激以及结肠癌发生中发挥了重要的作用。</w:t>
            </w:r>
          </w:p>
          <w:p w14:paraId="794CB42F" w14:textId="77777777" w:rsidR="00D71349" w:rsidRPr="005E0619" w:rsidRDefault="00D71349" w:rsidP="00D71349">
            <w:pPr>
              <w:adjustRightInd w:val="0"/>
              <w:snapToGrid w:val="0"/>
              <w:jc w:val="left"/>
              <w:rPr>
                <w:rFonts w:ascii="FangSong" w:eastAsia="FangSong" w:hAnsi="FangSong" w:cs="宋体"/>
              </w:rPr>
            </w:pPr>
            <w:r w:rsidRPr="005E0619">
              <w:rPr>
                <w:rFonts w:ascii="FangSong" w:eastAsia="FangSong" w:hAnsi="FangSong" w:cs="宋体" w:hint="eastAsia"/>
              </w:rPr>
              <w:t>5、王亚楠</w:t>
            </w:r>
          </w:p>
          <w:p w14:paraId="20FA222A" w14:textId="0EA96B89" w:rsidR="00D71349" w:rsidRPr="005E0619" w:rsidRDefault="00D71349" w:rsidP="00D71349">
            <w:pPr>
              <w:spacing w:line="240" w:lineRule="exact"/>
              <w:rPr>
                <w:rFonts w:ascii="FangSong" w:eastAsia="FangSong" w:hAnsi="FangSong"/>
              </w:rPr>
            </w:pPr>
            <w:r w:rsidRPr="005E0619">
              <w:rPr>
                <w:rFonts w:ascii="FangSong" w:eastAsia="FangSong" w:hAnsi="FangSong" w:cs="宋体" w:hint="eastAsia"/>
              </w:rPr>
              <w:t>职称：无；工作单位：巴黎综合理工大学；完成单位：北京大学；</w:t>
            </w:r>
            <w:r w:rsidRPr="005E0619">
              <w:rPr>
                <w:rFonts w:ascii="FangSong" w:eastAsia="FangSong" w:hAnsi="FangSong" w:hint="eastAsia"/>
              </w:rPr>
              <w:t>主要贡献</w:t>
            </w:r>
            <w:r w:rsidRPr="005E0619">
              <w:rPr>
                <w:rFonts w:ascii="FangSong" w:eastAsia="FangSong" w:hAnsi="FangSong" w:cs="宋体" w:hint="eastAsia"/>
              </w:rPr>
              <w:t>：以第一作者的身份参与了第1项工作(代表性论文</w:t>
            </w:r>
            <w:r w:rsidRPr="005E0619">
              <w:rPr>
                <w:rFonts w:ascii="FangSong" w:eastAsia="FangSong" w:hAnsi="FangSong" w:cs="宋体"/>
              </w:rPr>
              <w:t>)</w:t>
            </w:r>
            <w:r w:rsidRPr="005E0619">
              <w:rPr>
                <w:rFonts w:ascii="FangSong" w:eastAsia="FangSong" w:hAnsi="FangSong" w:cs="宋体" w:hint="eastAsia"/>
              </w:rPr>
              <w:t>的完成，发现了自噬缺陷导致的自噬关键蛋白p6</w:t>
            </w:r>
            <w:r w:rsidRPr="005E0619">
              <w:rPr>
                <w:rFonts w:ascii="FangSong" w:eastAsia="FangSong" w:hAnsi="FangSong" w:cs="宋体"/>
              </w:rPr>
              <w:t>2</w:t>
            </w:r>
            <w:r w:rsidRPr="005E0619">
              <w:rPr>
                <w:rFonts w:ascii="FangSong" w:eastAsia="FangSong" w:hAnsi="FangSong" w:cs="宋体" w:hint="eastAsia"/>
              </w:rPr>
              <w:t>的大量积累可以抑制组蛋白</w:t>
            </w:r>
            <w:proofErr w:type="gramStart"/>
            <w:r w:rsidRPr="005E0619">
              <w:rPr>
                <w:rFonts w:ascii="FangSong" w:eastAsia="FangSong" w:hAnsi="FangSong" w:cs="宋体" w:hint="eastAsia"/>
              </w:rPr>
              <w:t>泛素化</w:t>
            </w:r>
            <w:proofErr w:type="gramEnd"/>
            <w:r w:rsidRPr="005E0619">
              <w:rPr>
                <w:rFonts w:ascii="FangSong" w:eastAsia="FangSong" w:hAnsi="FangSong" w:cs="宋体" w:hint="eastAsia"/>
              </w:rPr>
              <w:t>的发生并导致DNA损伤修复受损。</w:t>
            </w:r>
          </w:p>
          <w:p w14:paraId="2A5DF287" w14:textId="32366EDD" w:rsidR="00A75C39" w:rsidRPr="005E0619" w:rsidRDefault="00D71349" w:rsidP="00A75C39">
            <w:pPr>
              <w:adjustRightInd w:val="0"/>
              <w:snapToGrid w:val="0"/>
              <w:jc w:val="left"/>
              <w:rPr>
                <w:rFonts w:ascii="FangSong" w:eastAsia="FangSong" w:hAnsi="FangSong" w:cs="宋体"/>
              </w:rPr>
            </w:pPr>
            <w:r w:rsidRPr="005E0619">
              <w:rPr>
                <w:rFonts w:ascii="FangSong" w:eastAsia="FangSong" w:hAnsi="FangSong" w:cs="宋体" w:hint="eastAsia"/>
              </w:rPr>
              <w:t>6、</w:t>
            </w:r>
            <w:r w:rsidR="00A75C39" w:rsidRPr="005E0619">
              <w:rPr>
                <w:rFonts w:ascii="FangSong" w:eastAsia="FangSong" w:hAnsi="FangSong" w:cs="宋体" w:hint="eastAsia"/>
              </w:rPr>
              <w:t>唐小龙</w:t>
            </w:r>
          </w:p>
          <w:p w14:paraId="712DFA75" w14:textId="70C8D5C3" w:rsidR="00A75C39" w:rsidRPr="005E0619" w:rsidRDefault="00A75C39" w:rsidP="00A75C39">
            <w:pPr>
              <w:spacing w:line="240" w:lineRule="exact"/>
              <w:rPr>
                <w:rFonts w:ascii="FangSong" w:eastAsia="FangSong" w:hAnsi="FangSong"/>
              </w:rPr>
            </w:pPr>
            <w:r w:rsidRPr="005E0619">
              <w:rPr>
                <w:rFonts w:ascii="FangSong" w:eastAsia="FangSong" w:hAnsi="FangSong" w:hint="eastAsia"/>
              </w:rPr>
              <w:t>职称：副研究员；工作单位：深圳大学；完成单位：深圳大学；主要贡献：作为共同第一作者直接参与了第</w:t>
            </w:r>
            <w:r w:rsidR="00731020">
              <w:rPr>
                <w:rFonts w:ascii="FangSong" w:eastAsia="FangSong" w:hAnsi="FangSong"/>
              </w:rPr>
              <w:t>3</w:t>
            </w:r>
            <w:r w:rsidRPr="005E0619">
              <w:rPr>
                <w:rFonts w:ascii="FangSong" w:eastAsia="FangSong" w:hAnsi="FangSong" w:hint="eastAsia"/>
              </w:rPr>
              <w:t>项工作（代表性论文）的完成，</w:t>
            </w:r>
            <w:r w:rsidR="002907F5" w:rsidRPr="005E0619">
              <w:rPr>
                <w:rFonts w:ascii="FangSong" w:eastAsia="FangSong" w:hAnsi="FangSong" w:hint="eastAsia"/>
              </w:rPr>
              <w:t>发现</w:t>
            </w:r>
            <w:r w:rsidRPr="005E0619">
              <w:rPr>
                <w:rFonts w:ascii="FangSong" w:eastAsia="FangSong" w:hAnsi="FangSong" w:hint="eastAsia"/>
              </w:rPr>
              <w:t>转移性乳腺癌中SIRT7的表达显著下调，SIRT7参与调控乳腺癌细胞迁移和浸润和EMT转化，鉴定了SIRT7去乙酰化SMAD4的修饰位点。</w:t>
            </w:r>
          </w:p>
          <w:p w14:paraId="0BEE5D68" w14:textId="7B2B176F" w:rsidR="00A75C39" w:rsidRPr="005E0619" w:rsidRDefault="00D71349" w:rsidP="00A75C39">
            <w:pPr>
              <w:adjustRightInd w:val="0"/>
              <w:snapToGrid w:val="0"/>
              <w:jc w:val="left"/>
              <w:rPr>
                <w:rFonts w:ascii="FangSong" w:eastAsia="FangSong" w:hAnsi="FangSong" w:cs="宋体"/>
              </w:rPr>
            </w:pPr>
            <w:r w:rsidRPr="005E0619">
              <w:rPr>
                <w:rFonts w:ascii="FangSong" w:eastAsia="FangSong" w:hAnsi="FangSong" w:cs="宋体" w:hint="eastAsia"/>
              </w:rPr>
              <w:t>7、</w:t>
            </w:r>
            <w:r w:rsidR="00A75C39" w:rsidRPr="005E0619">
              <w:rPr>
                <w:rFonts w:ascii="FangSong" w:eastAsia="FangSong" w:hAnsi="FangSong" w:cs="宋体" w:hint="eastAsia"/>
              </w:rPr>
              <w:t>汤明</w:t>
            </w:r>
          </w:p>
          <w:p w14:paraId="52821ED8" w14:textId="7BCB69BD" w:rsidR="00A75C39" w:rsidRPr="005E0619" w:rsidRDefault="00A75C39" w:rsidP="00A75C39">
            <w:pPr>
              <w:spacing w:line="240" w:lineRule="exact"/>
              <w:rPr>
                <w:rFonts w:ascii="FangSong" w:eastAsia="FangSong" w:hAnsi="FangSong"/>
              </w:rPr>
            </w:pPr>
            <w:r w:rsidRPr="005E0619">
              <w:rPr>
                <w:rFonts w:ascii="FangSong" w:eastAsia="FangSong" w:hAnsi="FangSong" w:cs="宋体" w:hint="eastAsia"/>
              </w:rPr>
              <w:t>职称：助理研究员；工作单位：同济大学附属第一妇婴保健院；完成单位：深圳大学；</w:t>
            </w:r>
            <w:r w:rsidRPr="005E0619">
              <w:rPr>
                <w:rFonts w:ascii="FangSong" w:eastAsia="FangSong" w:hAnsi="FangSong" w:hint="eastAsia"/>
              </w:rPr>
              <w:t>主要贡献</w:t>
            </w:r>
            <w:r w:rsidRPr="005E0619">
              <w:rPr>
                <w:rFonts w:ascii="FangSong" w:eastAsia="FangSong" w:hAnsi="FangSong" w:cs="宋体" w:hint="eastAsia"/>
              </w:rPr>
              <w:t>：以第一作者身份直接参与了第</w:t>
            </w:r>
            <w:r w:rsidR="00731020">
              <w:rPr>
                <w:rFonts w:ascii="FangSong" w:eastAsia="FangSong" w:hAnsi="FangSong" w:cs="宋体"/>
              </w:rPr>
              <w:t>4</w:t>
            </w:r>
            <w:r w:rsidRPr="005E0619">
              <w:rPr>
                <w:rFonts w:ascii="FangSong" w:eastAsia="FangSong" w:hAnsi="FangSong" w:cs="宋体" w:hint="eastAsia"/>
              </w:rPr>
              <w:t>项工作（代表性论文）的完成，</w:t>
            </w:r>
            <w:r w:rsidRPr="005E0619">
              <w:rPr>
                <w:rFonts w:ascii="FangSong" w:eastAsia="FangSong" w:hAnsi="FangSong" w:hint="eastAsia"/>
              </w:rPr>
              <w:t>揭示S</w:t>
            </w:r>
            <w:r w:rsidRPr="005E0619">
              <w:rPr>
                <w:rFonts w:ascii="FangSong" w:eastAsia="FangSong" w:hAnsi="FangSong"/>
              </w:rPr>
              <w:t>IRT7</w:t>
            </w:r>
            <w:r w:rsidRPr="005E0619">
              <w:rPr>
                <w:rFonts w:ascii="FangSong" w:eastAsia="FangSong" w:hAnsi="FangSong" w:hint="eastAsia"/>
              </w:rPr>
              <w:t>调控DNA修复完成后ATM失活的分子机制。</w:t>
            </w:r>
          </w:p>
          <w:p w14:paraId="163AF502" w14:textId="5ADD0075" w:rsidR="007B35AD" w:rsidRPr="003461D5" w:rsidRDefault="007B35AD" w:rsidP="00A75C39">
            <w:pPr>
              <w:spacing w:line="240" w:lineRule="exact"/>
              <w:rPr>
                <w:rFonts w:ascii="FangSong" w:eastAsia="FangSong" w:hAnsi="FangSong"/>
              </w:rPr>
            </w:pPr>
            <w:r w:rsidRPr="003461D5">
              <w:rPr>
                <w:rFonts w:ascii="FangSong" w:eastAsia="FangSong" w:hAnsi="FangSong" w:hint="eastAsia"/>
              </w:rPr>
              <w:t>8、王哲</w:t>
            </w:r>
          </w:p>
          <w:p w14:paraId="6B6769E9" w14:textId="52913FDB" w:rsidR="007B35AD" w:rsidRPr="003461D5" w:rsidRDefault="007B35AD" w:rsidP="00A75C39">
            <w:pPr>
              <w:spacing w:line="240" w:lineRule="exact"/>
              <w:rPr>
                <w:rFonts w:ascii="FangSong" w:eastAsia="FangSong" w:hAnsi="FangSong"/>
              </w:rPr>
            </w:pPr>
            <w:r w:rsidRPr="003461D5">
              <w:rPr>
                <w:rFonts w:ascii="FangSong" w:eastAsia="FangSong" w:hAnsi="FangSong" w:hint="eastAsia"/>
              </w:rPr>
              <w:t>职称：无；工作单位：哥伦比亚大学；完成单位：北京大学；主要贡献：以共同第一作者的身份参与了第</w:t>
            </w:r>
            <w:r w:rsidR="00731020">
              <w:rPr>
                <w:rFonts w:ascii="FangSong" w:eastAsia="FangSong" w:hAnsi="FangSong"/>
              </w:rPr>
              <w:t>2</w:t>
            </w:r>
            <w:r w:rsidRPr="003461D5">
              <w:rPr>
                <w:rFonts w:ascii="FangSong" w:eastAsia="FangSong" w:hAnsi="FangSong" w:hint="eastAsia"/>
              </w:rPr>
              <w:t>项工作(代表性论文)的完成，发现了了p300</w:t>
            </w:r>
            <w:proofErr w:type="gramStart"/>
            <w:r w:rsidRPr="003461D5">
              <w:rPr>
                <w:rFonts w:ascii="FangSong" w:eastAsia="FangSong" w:hAnsi="FangSong" w:hint="eastAsia"/>
              </w:rPr>
              <w:t>介</w:t>
            </w:r>
            <w:proofErr w:type="gramEnd"/>
            <w:r w:rsidRPr="003461D5">
              <w:rPr>
                <w:rFonts w:ascii="FangSong" w:eastAsia="FangSong" w:hAnsi="FangSong" w:hint="eastAsia"/>
              </w:rPr>
              <w:t>导的剪接体蛋白PHF5A乙酰化修饰通过调节KDM3A的选择性剪切在细胞应激以及结肠癌发生中发挥了重要的作用。</w:t>
            </w:r>
          </w:p>
          <w:p w14:paraId="11F093C9" w14:textId="35AC2A42" w:rsidR="00D71349" w:rsidRPr="003461D5" w:rsidRDefault="007B35AD" w:rsidP="00D71349">
            <w:pPr>
              <w:spacing w:line="240" w:lineRule="exact"/>
              <w:rPr>
                <w:rFonts w:ascii="FangSong" w:eastAsia="FangSong" w:hAnsi="FangSong"/>
              </w:rPr>
            </w:pPr>
            <w:r w:rsidRPr="003461D5">
              <w:rPr>
                <w:rFonts w:ascii="FangSong" w:eastAsia="FangSong" w:hAnsi="FangSong"/>
              </w:rPr>
              <w:t>9</w:t>
            </w:r>
            <w:r w:rsidR="00D71349" w:rsidRPr="003461D5">
              <w:rPr>
                <w:rFonts w:ascii="FangSong" w:eastAsia="FangSong" w:hAnsi="FangSong" w:hint="eastAsia"/>
              </w:rPr>
              <w:t xml:space="preserve">、杨鑫 </w:t>
            </w:r>
          </w:p>
          <w:p w14:paraId="55624CAD" w14:textId="52AB5056" w:rsidR="00D71349" w:rsidRPr="005E0619" w:rsidRDefault="00D71349" w:rsidP="00D71349">
            <w:pPr>
              <w:spacing w:line="240" w:lineRule="exact"/>
              <w:rPr>
                <w:rFonts w:ascii="FangSong" w:eastAsia="FangSong" w:hAnsi="FangSong"/>
              </w:rPr>
            </w:pPr>
            <w:r w:rsidRPr="003461D5">
              <w:rPr>
                <w:rFonts w:ascii="FangSong" w:eastAsia="FangSong" w:hAnsi="FangSong" w:hint="eastAsia"/>
              </w:rPr>
              <w:t>职称：</w:t>
            </w:r>
            <w:r w:rsidR="007B35AD" w:rsidRPr="003461D5">
              <w:rPr>
                <w:rFonts w:ascii="FangSong" w:eastAsia="FangSong" w:hAnsi="FangSong" w:hint="eastAsia"/>
              </w:rPr>
              <w:t>无</w:t>
            </w:r>
            <w:r w:rsidRPr="003461D5">
              <w:rPr>
                <w:rFonts w:ascii="FangSong" w:eastAsia="FangSong" w:hAnsi="FangSong" w:hint="eastAsia"/>
              </w:rPr>
              <w:t>；工作单位：哥伦比亚大学；完成单位：北京大学；主要贡献：以</w:t>
            </w:r>
            <w:r w:rsidR="007B35AD" w:rsidRPr="003461D5">
              <w:rPr>
                <w:rFonts w:ascii="FangSong" w:eastAsia="FangSong" w:hAnsi="FangSong" w:hint="eastAsia"/>
              </w:rPr>
              <w:t>共同</w:t>
            </w:r>
            <w:r w:rsidRPr="003461D5">
              <w:rPr>
                <w:rFonts w:ascii="FangSong" w:eastAsia="FangSong" w:hAnsi="FangSong" w:hint="eastAsia"/>
              </w:rPr>
              <w:t>第一作者的身份参与了第</w:t>
            </w:r>
            <w:r w:rsidR="00731020">
              <w:rPr>
                <w:rFonts w:ascii="FangSong" w:eastAsia="FangSong" w:hAnsi="FangSong"/>
              </w:rPr>
              <w:t>2</w:t>
            </w:r>
            <w:r w:rsidRPr="003461D5">
              <w:rPr>
                <w:rFonts w:ascii="FangSong" w:eastAsia="FangSong" w:hAnsi="FangSong" w:hint="eastAsia"/>
              </w:rPr>
              <w:t>项工作(代表性论文)的完成，</w:t>
            </w:r>
            <w:r w:rsidR="007B35AD" w:rsidRPr="003461D5">
              <w:rPr>
                <w:rFonts w:ascii="FangSong" w:eastAsia="FangSong" w:hAnsi="FangSong" w:hint="eastAsia"/>
              </w:rPr>
              <w:t>发现了了p300</w:t>
            </w:r>
            <w:proofErr w:type="gramStart"/>
            <w:r w:rsidR="007B35AD" w:rsidRPr="003461D5">
              <w:rPr>
                <w:rFonts w:ascii="FangSong" w:eastAsia="FangSong" w:hAnsi="FangSong" w:hint="eastAsia"/>
              </w:rPr>
              <w:t>介</w:t>
            </w:r>
            <w:proofErr w:type="gramEnd"/>
            <w:r w:rsidR="007B35AD" w:rsidRPr="003461D5">
              <w:rPr>
                <w:rFonts w:ascii="FangSong" w:eastAsia="FangSong" w:hAnsi="FangSong" w:hint="eastAsia"/>
              </w:rPr>
              <w:t>导的剪接体蛋白PHF5A乙酰化修饰通过调节KDM3A的选择性剪切在细胞应激以及结肠癌发生中发挥了重要的作用。</w:t>
            </w:r>
          </w:p>
          <w:p w14:paraId="6B6ADF57" w14:textId="46FF7E91" w:rsidR="002B1E10" w:rsidRPr="003461D5" w:rsidRDefault="002B1E10" w:rsidP="002B1E10">
            <w:pPr>
              <w:spacing w:line="240" w:lineRule="exact"/>
              <w:rPr>
                <w:rFonts w:ascii="FangSong" w:eastAsia="FangSong" w:hAnsi="FangSong"/>
              </w:rPr>
            </w:pPr>
            <w:r w:rsidRPr="003461D5">
              <w:rPr>
                <w:rFonts w:ascii="FangSong" w:eastAsia="FangSong" w:hAnsi="FangSong" w:hint="eastAsia"/>
              </w:rPr>
              <w:t>1</w:t>
            </w:r>
            <w:r w:rsidRPr="003461D5">
              <w:rPr>
                <w:rFonts w:ascii="FangSong" w:eastAsia="FangSong" w:hAnsi="FangSong"/>
              </w:rPr>
              <w:t>0</w:t>
            </w:r>
            <w:r w:rsidRPr="003461D5">
              <w:rPr>
                <w:rFonts w:ascii="FangSong" w:eastAsia="FangSong" w:hAnsi="FangSong" w:hint="eastAsia"/>
              </w:rPr>
              <w:t>、杨巧艳</w:t>
            </w:r>
          </w:p>
          <w:p w14:paraId="449B6171" w14:textId="7E06FABF" w:rsidR="002B1E10" w:rsidRPr="003461D5" w:rsidRDefault="002B1E10" w:rsidP="002B1E10">
            <w:pPr>
              <w:spacing w:line="240" w:lineRule="exact"/>
              <w:rPr>
                <w:rFonts w:ascii="FangSong" w:eastAsia="FangSong" w:hAnsi="FangSong"/>
              </w:rPr>
            </w:pPr>
            <w:r w:rsidRPr="003461D5">
              <w:rPr>
                <w:rFonts w:ascii="FangSong" w:eastAsia="FangSong" w:hAnsi="FangSong" w:hint="eastAsia"/>
              </w:rPr>
              <w:t>职称：助理研究员；工作单位：纽约大学；完成单位：北京大学；主要贡献：作为共同第一作者直接参与了第5项工作（代表性论文）的完成，揭示了组蛋白甲基化酶G9a参与调控DNA双链损伤之后同源重组修复通路的分子机制，为肿瘤治疗中放疗和相关抑制剂联用的治疗方案提供了理论基础。</w:t>
            </w:r>
          </w:p>
          <w:p w14:paraId="14464386" w14:textId="642B2BDE" w:rsidR="009227E7" w:rsidRPr="003461D5" w:rsidRDefault="002B1E10" w:rsidP="009227E7">
            <w:pPr>
              <w:spacing w:line="240" w:lineRule="exact"/>
              <w:rPr>
                <w:rFonts w:ascii="FangSong" w:eastAsia="FangSong" w:hAnsi="FangSong"/>
              </w:rPr>
            </w:pPr>
            <w:r w:rsidRPr="003461D5">
              <w:rPr>
                <w:rFonts w:ascii="FangSong" w:eastAsia="FangSong" w:hAnsi="FangSong" w:hint="eastAsia"/>
              </w:rPr>
              <w:t>1</w:t>
            </w:r>
            <w:r w:rsidRPr="003461D5">
              <w:rPr>
                <w:rFonts w:ascii="FangSong" w:eastAsia="FangSong" w:hAnsi="FangSong"/>
              </w:rPr>
              <w:t>1</w:t>
            </w:r>
            <w:r w:rsidR="009227E7" w:rsidRPr="003461D5">
              <w:rPr>
                <w:rFonts w:ascii="FangSong" w:eastAsia="FangSong" w:hAnsi="FangSong" w:hint="eastAsia"/>
              </w:rPr>
              <w:t>、朱骞</w:t>
            </w:r>
          </w:p>
          <w:p w14:paraId="132BF1EA" w14:textId="77777777" w:rsidR="00A75C39" w:rsidRPr="005E0619" w:rsidRDefault="009227E7" w:rsidP="009227E7">
            <w:pPr>
              <w:spacing w:line="240" w:lineRule="exact"/>
              <w:rPr>
                <w:rFonts w:ascii="FangSong" w:eastAsia="FangSong" w:hAnsi="FangSong"/>
              </w:rPr>
            </w:pPr>
            <w:r w:rsidRPr="003461D5">
              <w:rPr>
                <w:rFonts w:ascii="FangSong" w:eastAsia="FangSong" w:hAnsi="FangSong" w:hint="eastAsia"/>
              </w:rPr>
              <w:t>职称：助理教授；工作单位：深圳大学；完成单位：北京大学；主要贡献：作为共同第一作者直接参与了第5项工作（代表性论文）的完成，揭示了组蛋白甲基化酶G9a参与调控DNA双链损伤之后同源重组修复通路的分子机制，为肿瘤治疗中放疗和相关抑制剂联用的治疗方案提供了理论基础。</w:t>
            </w:r>
          </w:p>
          <w:p w14:paraId="6CE31A53" w14:textId="05E129D7" w:rsidR="009227E7" w:rsidRPr="005E0619" w:rsidRDefault="009227E7" w:rsidP="009227E7">
            <w:pPr>
              <w:spacing w:line="240" w:lineRule="exact"/>
              <w:rPr>
                <w:szCs w:val="21"/>
              </w:rPr>
            </w:pPr>
          </w:p>
        </w:tc>
      </w:tr>
      <w:tr w:rsidR="009B6C7C" w14:paraId="43448AA4" w14:textId="77777777" w:rsidTr="005F1F49">
        <w:trPr>
          <w:trHeight w:val="510"/>
          <w:jc w:val="center"/>
        </w:trPr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 w14:paraId="44AB1A92" w14:textId="77777777" w:rsidR="009B6C7C" w:rsidRDefault="009B6C7C" w:rsidP="00C016BB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主要完成单位</w:t>
            </w:r>
          </w:p>
        </w:tc>
        <w:tc>
          <w:tcPr>
            <w:tcW w:w="8686" w:type="dxa"/>
            <w:gridSpan w:val="3"/>
            <w:tcBorders>
              <w:tl2br w:val="nil"/>
              <w:tr2bl w:val="nil"/>
            </w:tcBorders>
          </w:tcPr>
          <w:p w14:paraId="73273C63" w14:textId="77777777" w:rsidR="009B6C7C" w:rsidRDefault="003C4747" w:rsidP="00C016BB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深圳大学；北京大学</w:t>
            </w:r>
          </w:p>
        </w:tc>
      </w:tr>
      <w:tr w:rsidR="009B6C7C" w14:paraId="652B9DD6" w14:textId="77777777" w:rsidTr="005F1F49">
        <w:trPr>
          <w:trHeight w:val="510"/>
          <w:jc w:val="center"/>
        </w:trPr>
        <w:tc>
          <w:tcPr>
            <w:tcW w:w="9681" w:type="dxa"/>
            <w:gridSpan w:val="4"/>
            <w:tcBorders>
              <w:tl2br w:val="nil"/>
              <w:tr2bl w:val="nil"/>
            </w:tcBorders>
            <w:vAlign w:val="center"/>
          </w:tcPr>
          <w:p w14:paraId="378785FA" w14:textId="77777777" w:rsidR="009B6C7C" w:rsidRDefault="009B6C7C" w:rsidP="00C016BB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代表性论文（专著）目录</w:t>
            </w:r>
          </w:p>
        </w:tc>
      </w:tr>
      <w:tr w:rsidR="009B6C7C" w14:paraId="6EFA461A" w14:textId="77777777" w:rsidTr="005F1F49">
        <w:trPr>
          <w:trHeight w:val="510"/>
          <w:jc w:val="center"/>
        </w:trPr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 w14:paraId="555308A9" w14:textId="77777777" w:rsidR="009B6C7C" w:rsidRDefault="009B6C7C" w:rsidP="00C016BB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lastRenderedPageBreak/>
              <w:t>序号</w:t>
            </w:r>
          </w:p>
        </w:tc>
        <w:tc>
          <w:tcPr>
            <w:tcW w:w="3845" w:type="dxa"/>
            <w:tcBorders>
              <w:tl2br w:val="nil"/>
              <w:tr2bl w:val="nil"/>
            </w:tcBorders>
            <w:vAlign w:val="center"/>
          </w:tcPr>
          <w:p w14:paraId="6D802724" w14:textId="77777777" w:rsidR="009B6C7C" w:rsidRDefault="009B6C7C" w:rsidP="00C016BB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论文（专著）名称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 w14:paraId="686A718F" w14:textId="77777777" w:rsidR="009B6C7C" w:rsidRDefault="009B6C7C" w:rsidP="00C016BB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刊名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vAlign w:val="center"/>
          </w:tcPr>
          <w:p w14:paraId="569360ED" w14:textId="77777777" w:rsidR="009B6C7C" w:rsidRDefault="009B6C7C" w:rsidP="00C016BB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所有作者</w:t>
            </w:r>
          </w:p>
        </w:tc>
      </w:tr>
      <w:tr w:rsidR="00BA7E4D" w14:paraId="30BCBCE4" w14:textId="77777777" w:rsidTr="005F1F49">
        <w:trPr>
          <w:trHeight w:val="624"/>
          <w:jc w:val="center"/>
        </w:trPr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 w14:paraId="126043C4" w14:textId="77777777" w:rsidR="00BA7E4D" w:rsidRDefault="00BA7E4D" w:rsidP="00BA7E4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845" w:type="dxa"/>
            <w:tcBorders>
              <w:tl2br w:val="nil"/>
              <w:tr2bl w:val="nil"/>
            </w:tcBorders>
            <w:vAlign w:val="center"/>
          </w:tcPr>
          <w:p w14:paraId="12147479" w14:textId="77777777" w:rsidR="00BA7E4D" w:rsidRDefault="00BA7E4D" w:rsidP="00BA7E4D">
            <w:pPr>
              <w:widowControl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 xml:space="preserve">Autophagy Regulates Chromatin </w:t>
            </w:r>
            <w:proofErr w:type="spellStart"/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Ubiquitination</w:t>
            </w:r>
            <w:proofErr w:type="spellEnd"/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 xml:space="preserve"> in DNA Damage Response through Elimination of SQSTM1/p62.</w:t>
            </w:r>
          </w:p>
          <w:p w14:paraId="35C4F743" w14:textId="77777777" w:rsidR="00BA7E4D" w:rsidRPr="00BA7E4D" w:rsidRDefault="00BA7E4D" w:rsidP="00BA7E4D">
            <w:pPr>
              <w:widowControl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 w14:paraId="604E8CBF" w14:textId="77777777" w:rsidR="00BA7E4D" w:rsidRPr="004D5857" w:rsidRDefault="00BA7E4D" w:rsidP="00BA7E4D">
            <w:pPr>
              <w:widowControl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Mol</w:t>
            </w:r>
            <w:proofErr w:type="spellEnd"/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 xml:space="preserve"> Cell.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vAlign w:val="center"/>
          </w:tcPr>
          <w:p w14:paraId="407A5932" w14:textId="2EBECF81" w:rsidR="00BA7E4D" w:rsidRPr="004D5857" w:rsidRDefault="00B3379F" w:rsidP="00BA7E4D">
            <w:pPr>
              <w:widowControl/>
              <w:rPr>
                <w:rFonts w:ascii="Segoe UI" w:eastAsia="DengXian" w:hAnsi="Segoe UI" w:cs="Segoe UI"/>
                <w:color w:val="212121"/>
                <w:sz w:val="20"/>
                <w:szCs w:val="20"/>
              </w:rPr>
            </w:pPr>
            <w:r w:rsidRPr="00B3379F">
              <w:rPr>
                <w:rFonts w:ascii="Segoe UI" w:eastAsia="DengXian" w:hAnsi="Segoe UI" w:cs="Segoe UI" w:hint="eastAsia"/>
                <w:color w:val="212121"/>
                <w:sz w:val="20"/>
                <w:szCs w:val="20"/>
              </w:rPr>
              <w:t>王亚楠，张楠，张璐瑶，李冉，付婉，马可，李雪，王丽娜，王嘉东，张宏权，顾伟，朱卫国，赵颖</w:t>
            </w:r>
          </w:p>
        </w:tc>
      </w:tr>
      <w:tr w:rsidR="002B1E10" w14:paraId="0784DCBF" w14:textId="77777777" w:rsidTr="005F1F49">
        <w:trPr>
          <w:trHeight w:val="624"/>
          <w:jc w:val="center"/>
        </w:trPr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 w14:paraId="0A220B04" w14:textId="109629DE" w:rsidR="002B1E10" w:rsidRDefault="005E0619" w:rsidP="002B1E1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845" w:type="dxa"/>
            <w:tcBorders>
              <w:tl2br w:val="nil"/>
              <w:tr2bl w:val="nil"/>
            </w:tcBorders>
            <w:vAlign w:val="center"/>
          </w:tcPr>
          <w:p w14:paraId="570D53DF" w14:textId="44F25234" w:rsidR="002B1E10" w:rsidRDefault="002B1E10" w:rsidP="002B1E10">
            <w:pPr>
              <w:widowControl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 w:rsidRPr="00511561">
              <w:rPr>
                <w:rFonts w:ascii="DengXian" w:eastAsia="DengXian" w:hAnsi="DengXian"/>
                <w:color w:val="000000"/>
                <w:sz w:val="22"/>
                <w:szCs w:val="22"/>
              </w:rPr>
              <w:t xml:space="preserve">Acetylation of PHF5A Modulates Stress Responses and Colorectal Carcinogenesis through Alternative Splicing-Mediated </w:t>
            </w:r>
            <w:proofErr w:type="spellStart"/>
            <w:r w:rsidRPr="00511561">
              <w:rPr>
                <w:rFonts w:ascii="DengXian" w:eastAsia="DengXian" w:hAnsi="DengXian"/>
                <w:color w:val="000000"/>
                <w:sz w:val="22"/>
                <w:szCs w:val="22"/>
              </w:rPr>
              <w:t>Upregulation</w:t>
            </w:r>
            <w:proofErr w:type="spellEnd"/>
            <w:r w:rsidRPr="00511561">
              <w:rPr>
                <w:rFonts w:ascii="DengXian" w:eastAsia="DengXian" w:hAnsi="DengXian"/>
                <w:color w:val="000000"/>
                <w:sz w:val="22"/>
                <w:szCs w:val="22"/>
              </w:rPr>
              <w:t xml:space="preserve"> of KDM3A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 w14:paraId="35576D6D" w14:textId="1F486C56" w:rsidR="002B1E10" w:rsidRDefault="002B1E10" w:rsidP="002B1E10">
            <w:pPr>
              <w:widowControl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proofErr w:type="spellStart"/>
            <w:r w:rsidRPr="00511561">
              <w:rPr>
                <w:rFonts w:ascii="DengXian" w:eastAsia="DengXian" w:hAnsi="DengXian"/>
                <w:color w:val="000000"/>
                <w:sz w:val="22"/>
                <w:szCs w:val="22"/>
              </w:rPr>
              <w:t>Mol</w:t>
            </w:r>
            <w:proofErr w:type="spellEnd"/>
            <w:r w:rsidRPr="00511561">
              <w:rPr>
                <w:rFonts w:ascii="DengXian" w:eastAsia="DengXian" w:hAnsi="DengXian"/>
                <w:color w:val="000000"/>
                <w:sz w:val="22"/>
                <w:szCs w:val="22"/>
              </w:rPr>
              <w:t xml:space="preserve"> Cell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vAlign w:val="center"/>
          </w:tcPr>
          <w:p w14:paraId="3870D1BF" w14:textId="77777777" w:rsidR="002B1E10" w:rsidRDefault="002B1E10" w:rsidP="002B1E10">
            <w:pPr>
              <w:widowControl/>
              <w:rPr>
                <w:rFonts w:ascii="Segoe UI" w:eastAsia="DengXian" w:hAnsi="Segoe UI" w:cs="Segoe UI"/>
                <w:color w:val="212121"/>
                <w:sz w:val="20"/>
                <w:szCs w:val="20"/>
              </w:rPr>
            </w:pPr>
            <w:r w:rsidRPr="00CB282B">
              <w:rPr>
                <w:rFonts w:ascii="Segoe UI" w:eastAsia="DengXian" w:hAnsi="Segoe UI" w:cs="Segoe UI" w:hint="eastAsia"/>
                <w:color w:val="212121"/>
                <w:sz w:val="20"/>
                <w:szCs w:val="20"/>
              </w:rPr>
              <w:t>王哲，杨鑫，刘程，李欣，张布雨，王博，张羽，宋宸，张添卓，刘明慧，刘博雅，任梦梦，蒋洪鹏，邹俊华，刘小云，张宏权，朱卫国，尹玉新，张章，顾伟，罗建沅</w:t>
            </w:r>
          </w:p>
          <w:p w14:paraId="760DB926" w14:textId="77777777" w:rsidR="002B1E10" w:rsidRPr="009850F7" w:rsidRDefault="002B1E10" w:rsidP="002B1E10">
            <w:pPr>
              <w:widowControl/>
              <w:rPr>
                <w:rFonts w:ascii="Segoe UI" w:eastAsia="DengXian" w:hAnsi="Segoe UI" w:cs="Segoe UI"/>
                <w:color w:val="212121"/>
                <w:sz w:val="20"/>
                <w:szCs w:val="20"/>
              </w:rPr>
            </w:pPr>
          </w:p>
        </w:tc>
      </w:tr>
      <w:tr w:rsidR="002B1E10" w14:paraId="57724318" w14:textId="77777777" w:rsidTr="005F1F49">
        <w:trPr>
          <w:trHeight w:val="624"/>
          <w:jc w:val="center"/>
        </w:trPr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 w14:paraId="53A7359E" w14:textId="6BD0E9B6" w:rsidR="002B1E10" w:rsidRDefault="005E0619" w:rsidP="002B1E1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3845" w:type="dxa"/>
            <w:tcBorders>
              <w:tl2br w:val="nil"/>
              <w:tr2bl w:val="nil"/>
            </w:tcBorders>
            <w:vAlign w:val="center"/>
          </w:tcPr>
          <w:p w14:paraId="50C0D07B" w14:textId="77777777" w:rsidR="002B1E10" w:rsidRPr="004D5857" w:rsidRDefault="002B1E10" w:rsidP="002B1E10">
            <w:pPr>
              <w:widowControl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SIRT7 antagonizes TGF-β signaling and inhibits breast cancer metastasis.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 w14:paraId="100ACF9C" w14:textId="77777777" w:rsidR="002B1E10" w:rsidRDefault="002B1E10" w:rsidP="002B1E10">
            <w:pPr>
              <w:widowControl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 xml:space="preserve">Nat </w:t>
            </w:r>
            <w:proofErr w:type="spellStart"/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Commun</w:t>
            </w:r>
            <w:proofErr w:type="spellEnd"/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vAlign w:val="center"/>
          </w:tcPr>
          <w:p w14:paraId="09CB4DBF" w14:textId="762B0F38" w:rsidR="002B1E10" w:rsidRDefault="002B1E10" w:rsidP="002B1E10">
            <w:pPr>
              <w:widowControl/>
              <w:rPr>
                <w:rFonts w:ascii="Segoe UI" w:eastAsia="DengXian" w:hAnsi="Segoe UI" w:cs="Segoe UI"/>
                <w:color w:val="212121"/>
                <w:sz w:val="20"/>
                <w:szCs w:val="20"/>
              </w:rPr>
            </w:pPr>
            <w:r w:rsidRPr="009850F7">
              <w:rPr>
                <w:rFonts w:ascii="Segoe UI" w:eastAsia="DengXian" w:hAnsi="Segoe UI" w:cs="Segoe UI" w:hint="eastAsia"/>
                <w:color w:val="212121"/>
                <w:sz w:val="20"/>
                <w:szCs w:val="20"/>
              </w:rPr>
              <w:t>唐小龙，石蕾，谢妮，刘佐君，钱民先，孟凡彪，许庆阳，周明艳，曹馨月，朱卫国，刘宝华</w:t>
            </w:r>
          </w:p>
        </w:tc>
      </w:tr>
      <w:tr w:rsidR="002B1E10" w14:paraId="585BE88C" w14:textId="77777777" w:rsidTr="005F1F49">
        <w:trPr>
          <w:trHeight w:val="624"/>
          <w:jc w:val="center"/>
        </w:trPr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 w14:paraId="5584DE16" w14:textId="48A2D092" w:rsidR="002B1E10" w:rsidRDefault="005E0619" w:rsidP="002B1E1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3845" w:type="dxa"/>
            <w:tcBorders>
              <w:tl2br w:val="nil"/>
              <w:tr2bl w:val="nil"/>
            </w:tcBorders>
            <w:vAlign w:val="center"/>
          </w:tcPr>
          <w:p w14:paraId="6548E12F" w14:textId="77777777" w:rsidR="002B1E10" w:rsidRPr="004D5857" w:rsidRDefault="002B1E10" w:rsidP="002B1E10">
            <w:pPr>
              <w:widowControl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 xml:space="preserve">SIRT7-mediated ATM </w:t>
            </w:r>
            <w:proofErr w:type="spellStart"/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deacetylation</w:t>
            </w:r>
            <w:proofErr w:type="spellEnd"/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 xml:space="preserve"> is essential for its deactivation and DNA damage repair.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 w14:paraId="37F3B732" w14:textId="77777777" w:rsidR="002B1E10" w:rsidRPr="004D5857" w:rsidRDefault="002B1E10" w:rsidP="002B1E10">
            <w:pPr>
              <w:widowControl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Sci</w:t>
            </w:r>
            <w:proofErr w:type="spellEnd"/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 xml:space="preserve"> Adv. 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vAlign w:val="center"/>
          </w:tcPr>
          <w:p w14:paraId="1BC7BAF4" w14:textId="49368A0B" w:rsidR="002B1E10" w:rsidRPr="004D5857" w:rsidRDefault="002B1E10" w:rsidP="002B1E10">
            <w:pPr>
              <w:widowControl/>
              <w:rPr>
                <w:rFonts w:ascii="Segoe UI" w:eastAsia="DengXian" w:hAnsi="Segoe UI" w:cs="Segoe UI"/>
                <w:color w:val="212121"/>
                <w:sz w:val="20"/>
                <w:szCs w:val="20"/>
              </w:rPr>
            </w:pPr>
            <w:r w:rsidRPr="00B3379F">
              <w:rPr>
                <w:rFonts w:ascii="Segoe UI" w:eastAsia="DengXian" w:hAnsi="Segoe UI" w:cs="Segoe UI" w:hint="eastAsia"/>
                <w:color w:val="212121"/>
                <w:sz w:val="20"/>
                <w:szCs w:val="20"/>
              </w:rPr>
              <w:t>汤明，李治明，张超华，陆小鹏，涂博，曹紫阳，李莹璐，陈永灿，江路，王慧，王丽娜，王嘉东，刘宝华，许兴智，王海英，朱卫国</w:t>
            </w:r>
          </w:p>
        </w:tc>
      </w:tr>
      <w:tr w:rsidR="005F1F49" w14:paraId="05B6FE9A" w14:textId="77777777" w:rsidTr="005F1F49">
        <w:trPr>
          <w:trHeight w:val="624"/>
          <w:jc w:val="center"/>
        </w:trPr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 w14:paraId="5649F72C" w14:textId="7D25E7C6" w:rsidR="005F1F49" w:rsidRDefault="005F1F49" w:rsidP="005E06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845" w:type="dxa"/>
            <w:tcBorders>
              <w:tl2br w:val="nil"/>
              <w:tr2bl w:val="nil"/>
            </w:tcBorders>
            <w:vAlign w:val="center"/>
          </w:tcPr>
          <w:p w14:paraId="6E9C2AF3" w14:textId="32398E97" w:rsidR="005F1F49" w:rsidRDefault="005F1F49" w:rsidP="005E0619">
            <w:pPr>
              <w:widowControl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 w:rsidRPr="00BA207A">
              <w:rPr>
                <w:rFonts w:ascii="DengXian" w:eastAsia="DengXian" w:hAnsi="DengXian"/>
                <w:color w:val="000000"/>
                <w:sz w:val="22"/>
                <w:szCs w:val="22"/>
              </w:rPr>
              <w:t>G9a coordinates with the RPA complex to promote DNA damage repair and cell survival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 w14:paraId="78288F8E" w14:textId="652013D7" w:rsidR="005F1F49" w:rsidRPr="004D5857" w:rsidRDefault="005F1F49" w:rsidP="005E0619">
            <w:pPr>
              <w:widowControl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PNAS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vAlign w:val="center"/>
          </w:tcPr>
          <w:p w14:paraId="47182E5A" w14:textId="1AA608E8" w:rsidR="005F1F49" w:rsidRPr="009227E7" w:rsidRDefault="005F1F49" w:rsidP="005E0619">
            <w:pPr>
              <w:widowControl/>
              <w:rPr>
                <w:rFonts w:ascii="Segoe UI" w:eastAsia="DengXian" w:hAnsi="Segoe UI" w:cs="Segoe UI"/>
                <w:color w:val="212121"/>
                <w:sz w:val="20"/>
                <w:szCs w:val="20"/>
              </w:rPr>
            </w:pPr>
            <w:r w:rsidRPr="009227E7">
              <w:rPr>
                <w:rFonts w:ascii="Segoe UI" w:eastAsia="DengXian" w:hAnsi="Segoe UI" w:cs="Segoe UI" w:hint="eastAsia"/>
                <w:color w:val="212121"/>
                <w:sz w:val="20"/>
                <w:szCs w:val="20"/>
              </w:rPr>
              <w:t>杨巧艳，朱骞，陆小鹏，杜贻鹏，曹林林，申长春，侯天云，李美婷，李治明，刘超华，武迪</w:t>
            </w:r>
            <w:r w:rsidRPr="004B5F51">
              <w:rPr>
                <w:rFonts w:ascii="Segoe UI" w:eastAsia="DengXian" w:hAnsi="Segoe UI" w:cs="Segoe UI"/>
                <w:color w:val="212121"/>
                <w:sz w:val="20"/>
                <w:szCs w:val="20"/>
              </w:rPr>
              <w:t>,</w:t>
            </w:r>
            <w:r>
              <w:rPr>
                <w:rFonts w:ascii="Segoe UI" w:eastAsia="DengXian" w:hAnsi="Segoe UI" w:cs="Segoe UI" w:hint="eastAsia"/>
                <w:color w:val="212121"/>
                <w:sz w:val="20"/>
                <w:szCs w:val="20"/>
              </w:rPr>
              <w:t>许兴智</w:t>
            </w:r>
            <w:r w:rsidRPr="004B5F51">
              <w:rPr>
                <w:rFonts w:ascii="Segoe UI" w:eastAsia="DengXian" w:hAnsi="Segoe UI" w:cs="Segoe UI"/>
                <w:color w:val="212121"/>
                <w:sz w:val="20"/>
                <w:szCs w:val="20"/>
              </w:rPr>
              <w:t xml:space="preserve">, </w:t>
            </w:r>
            <w:r w:rsidRPr="004B5F51">
              <w:rPr>
                <w:rFonts w:ascii="Segoe UI" w:eastAsia="DengXian" w:hAnsi="Segoe UI" w:cs="Segoe UI" w:hint="eastAsia"/>
                <w:color w:val="212121"/>
                <w:sz w:val="20"/>
                <w:szCs w:val="20"/>
              </w:rPr>
              <w:t>王丽娜</w:t>
            </w:r>
            <w:r w:rsidRPr="004B5F51">
              <w:rPr>
                <w:rFonts w:ascii="Segoe UI" w:eastAsia="DengXian" w:hAnsi="Segoe UI" w:cs="Segoe UI"/>
                <w:color w:val="212121"/>
                <w:sz w:val="20"/>
                <w:szCs w:val="20"/>
              </w:rPr>
              <w:t xml:space="preserve">, </w:t>
            </w:r>
            <w:r w:rsidRPr="004B5F51">
              <w:rPr>
                <w:rFonts w:ascii="Segoe UI" w:eastAsia="DengXian" w:hAnsi="Segoe UI" w:cs="Segoe UI" w:hint="eastAsia"/>
                <w:color w:val="212121"/>
                <w:sz w:val="20"/>
                <w:szCs w:val="20"/>
              </w:rPr>
              <w:t>王海英</w:t>
            </w:r>
            <w:r w:rsidRPr="004B5F51">
              <w:rPr>
                <w:rFonts w:ascii="Segoe UI" w:eastAsia="DengXian" w:hAnsi="Segoe UI" w:cs="Segoe UI"/>
                <w:color w:val="212121"/>
                <w:sz w:val="20"/>
                <w:szCs w:val="20"/>
              </w:rPr>
              <w:t xml:space="preserve">, </w:t>
            </w:r>
            <w:r w:rsidRPr="004B5F51">
              <w:rPr>
                <w:rFonts w:ascii="Segoe UI" w:eastAsia="DengXian" w:hAnsi="Segoe UI" w:cs="Segoe UI" w:hint="eastAsia"/>
                <w:color w:val="212121"/>
                <w:sz w:val="20"/>
                <w:szCs w:val="20"/>
              </w:rPr>
              <w:t>赵颖</w:t>
            </w:r>
            <w:r w:rsidRPr="004B5F51">
              <w:rPr>
                <w:rFonts w:ascii="Segoe UI" w:eastAsia="DengXian" w:hAnsi="Segoe UI" w:cs="Segoe UI"/>
                <w:color w:val="212121"/>
                <w:sz w:val="20"/>
                <w:szCs w:val="20"/>
              </w:rPr>
              <w:t xml:space="preserve">, </w:t>
            </w:r>
            <w:r w:rsidRPr="004B5F51">
              <w:rPr>
                <w:rFonts w:ascii="Segoe UI" w:eastAsia="DengXian" w:hAnsi="Segoe UI" w:cs="Segoe UI" w:hint="eastAsia"/>
                <w:color w:val="212121"/>
                <w:sz w:val="20"/>
                <w:szCs w:val="20"/>
              </w:rPr>
              <w:t>杨洋</w:t>
            </w:r>
            <w:r w:rsidRPr="004B5F51">
              <w:rPr>
                <w:rFonts w:ascii="Segoe UI" w:eastAsia="DengXian" w:hAnsi="Segoe UI" w:cs="Segoe UI"/>
                <w:color w:val="212121"/>
                <w:sz w:val="20"/>
                <w:szCs w:val="20"/>
              </w:rPr>
              <w:t xml:space="preserve">, </w:t>
            </w:r>
            <w:r w:rsidRPr="004B5F51">
              <w:rPr>
                <w:rFonts w:ascii="Segoe UI" w:eastAsia="DengXian" w:hAnsi="Segoe UI" w:cs="Segoe UI" w:hint="eastAsia"/>
                <w:color w:val="212121"/>
                <w:sz w:val="20"/>
                <w:szCs w:val="20"/>
              </w:rPr>
              <w:t>朱卫国</w:t>
            </w:r>
          </w:p>
        </w:tc>
      </w:tr>
    </w:tbl>
    <w:p w14:paraId="58520D7F" w14:textId="77777777" w:rsidR="0070761A" w:rsidRDefault="0070761A">
      <w:bookmarkStart w:id="0" w:name="_GoBack"/>
      <w:bookmarkEnd w:id="0"/>
    </w:p>
    <w:sectPr w:rsidR="00707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CC7EB" w14:textId="77777777" w:rsidR="00F34055" w:rsidRDefault="00F34055" w:rsidP="00885BDF">
      <w:r>
        <w:separator/>
      </w:r>
    </w:p>
  </w:endnote>
  <w:endnote w:type="continuationSeparator" w:id="0">
    <w:p w14:paraId="212AFD3D" w14:textId="77777777" w:rsidR="00F34055" w:rsidRDefault="00F34055" w:rsidP="0088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1DD30D" w14:textId="77777777" w:rsidR="00F34055" w:rsidRDefault="00F34055" w:rsidP="00885BDF">
      <w:r>
        <w:separator/>
      </w:r>
    </w:p>
  </w:footnote>
  <w:footnote w:type="continuationSeparator" w:id="0">
    <w:p w14:paraId="45CB7AB1" w14:textId="77777777" w:rsidR="00F34055" w:rsidRDefault="00F34055" w:rsidP="00885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EAE"/>
    <w:multiLevelType w:val="hybridMultilevel"/>
    <w:tmpl w:val="BB228368"/>
    <w:lvl w:ilvl="0" w:tplc="04F47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D90835"/>
    <w:multiLevelType w:val="hybridMultilevel"/>
    <w:tmpl w:val="9956FF16"/>
    <w:lvl w:ilvl="0" w:tplc="148A701E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047557"/>
    <w:multiLevelType w:val="hybridMultilevel"/>
    <w:tmpl w:val="6AAE344A"/>
    <w:lvl w:ilvl="0" w:tplc="673CC91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7C"/>
    <w:rsid w:val="000031D7"/>
    <w:rsid w:val="0001247E"/>
    <w:rsid w:val="00062A3E"/>
    <w:rsid w:val="0009495A"/>
    <w:rsid w:val="000B0A1F"/>
    <w:rsid w:val="000C1AC3"/>
    <w:rsid w:val="000D495E"/>
    <w:rsid w:val="000E5F3F"/>
    <w:rsid w:val="00123EEE"/>
    <w:rsid w:val="0015160A"/>
    <w:rsid w:val="00154A5E"/>
    <w:rsid w:val="0016355E"/>
    <w:rsid w:val="00165A1D"/>
    <w:rsid w:val="001757CA"/>
    <w:rsid w:val="00177D8C"/>
    <w:rsid w:val="001979BE"/>
    <w:rsid w:val="001C23D4"/>
    <w:rsid w:val="00201D35"/>
    <w:rsid w:val="00205919"/>
    <w:rsid w:val="00215CE0"/>
    <w:rsid w:val="0025163D"/>
    <w:rsid w:val="00290617"/>
    <w:rsid w:val="002907F5"/>
    <w:rsid w:val="002B1E10"/>
    <w:rsid w:val="002C4D93"/>
    <w:rsid w:val="002E04A0"/>
    <w:rsid w:val="0033775F"/>
    <w:rsid w:val="003430BD"/>
    <w:rsid w:val="003461D5"/>
    <w:rsid w:val="00357562"/>
    <w:rsid w:val="00364F64"/>
    <w:rsid w:val="003A324C"/>
    <w:rsid w:val="003B12C9"/>
    <w:rsid w:val="003B5B37"/>
    <w:rsid w:val="003C0FB7"/>
    <w:rsid w:val="003C4747"/>
    <w:rsid w:val="003D2A5E"/>
    <w:rsid w:val="004118F1"/>
    <w:rsid w:val="004229B7"/>
    <w:rsid w:val="00473ED0"/>
    <w:rsid w:val="00485F1B"/>
    <w:rsid w:val="00487E43"/>
    <w:rsid w:val="004B5F51"/>
    <w:rsid w:val="004D5857"/>
    <w:rsid w:val="00511561"/>
    <w:rsid w:val="00512709"/>
    <w:rsid w:val="00512C97"/>
    <w:rsid w:val="00543A97"/>
    <w:rsid w:val="005B7CD8"/>
    <w:rsid w:val="005C3661"/>
    <w:rsid w:val="005E0619"/>
    <w:rsid w:val="005F1F49"/>
    <w:rsid w:val="006128D9"/>
    <w:rsid w:val="00637760"/>
    <w:rsid w:val="00677011"/>
    <w:rsid w:val="006C37F6"/>
    <w:rsid w:val="006C3940"/>
    <w:rsid w:val="006C3C57"/>
    <w:rsid w:val="006D73F8"/>
    <w:rsid w:val="0070761A"/>
    <w:rsid w:val="00731020"/>
    <w:rsid w:val="00760508"/>
    <w:rsid w:val="00785C62"/>
    <w:rsid w:val="007A4598"/>
    <w:rsid w:val="007B35AD"/>
    <w:rsid w:val="00847760"/>
    <w:rsid w:val="008563C9"/>
    <w:rsid w:val="00885BDF"/>
    <w:rsid w:val="008A456C"/>
    <w:rsid w:val="008A4F7A"/>
    <w:rsid w:val="008D4FFC"/>
    <w:rsid w:val="008E0A20"/>
    <w:rsid w:val="008F1308"/>
    <w:rsid w:val="008F7CA5"/>
    <w:rsid w:val="009227E7"/>
    <w:rsid w:val="009850F7"/>
    <w:rsid w:val="009B6C7C"/>
    <w:rsid w:val="009C4EBA"/>
    <w:rsid w:val="009D062C"/>
    <w:rsid w:val="009D1D81"/>
    <w:rsid w:val="009E430F"/>
    <w:rsid w:val="00A22FCB"/>
    <w:rsid w:val="00A508CD"/>
    <w:rsid w:val="00A570F6"/>
    <w:rsid w:val="00A63AF6"/>
    <w:rsid w:val="00A75C39"/>
    <w:rsid w:val="00A7759D"/>
    <w:rsid w:val="00A83AA1"/>
    <w:rsid w:val="00A848CE"/>
    <w:rsid w:val="00AD21ED"/>
    <w:rsid w:val="00AD5F46"/>
    <w:rsid w:val="00AD654A"/>
    <w:rsid w:val="00AE67EA"/>
    <w:rsid w:val="00B01322"/>
    <w:rsid w:val="00B1154C"/>
    <w:rsid w:val="00B3379F"/>
    <w:rsid w:val="00B37729"/>
    <w:rsid w:val="00B50641"/>
    <w:rsid w:val="00BA0B43"/>
    <w:rsid w:val="00BA207A"/>
    <w:rsid w:val="00BA7E4D"/>
    <w:rsid w:val="00BD2CEF"/>
    <w:rsid w:val="00BE596B"/>
    <w:rsid w:val="00C228B0"/>
    <w:rsid w:val="00C954D4"/>
    <w:rsid w:val="00C967FE"/>
    <w:rsid w:val="00CB20F1"/>
    <w:rsid w:val="00CB282B"/>
    <w:rsid w:val="00CE4F98"/>
    <w:rsid w:val="00CE6216"/>
    <w:rsid w:val="00D15425"/>
    <w:rsid w:val="00D554A9"/>
    <w:rsid w:val="00D71349"/>
    <w:rsid w:val="00D809F3"/>
    <w:rsid w:val="00D960EA"/>
    <w:rsid w:val="00DA5EE6"/>
    <w:rsid w:val="00E96948"/>
    <w:rsid w:val="00EB54D8"/>
    <w:rsid w:val="00EB5509"/>
    <w:rsid w:val="00F34055"/>
    <w:rsid w:val="00F43889"/>
    <w:rsid w:val="00F5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D94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C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9B6C7C"/>
    <w:pPr>
      <w:keepNext/>
      <w:jc w:val="center"/>
      <w:outlineLvl w:val="0"/>
    </w:pPr>
    <w:rPr>
      <w:rFonts w:ascii="仿宋_GB2312" w:eastAsia="仿宋_GB2312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B6C7C"/>
    <w:rPr>
      <w:rFonts w:ascii="仿宋_GB2312" w:eastAsia="仿宋_GB2312" w:hAnsi="Times New Roman" w:cs="Times New Roman"/>
      <w:kern w:val="0"/>
      <w:sz w:val="28"/>
      <w:szCs w:val="20"/>
    </w:rPr>
  </w:style>
  <w:style w:type="paragraph" w:styleId="a3">
    <w:name w:val="header"/>
    <w:basedOn w:val="a"/>
    <w:link w:val="Char"/>
    <w:uiPriority w:val="99"/>
    <w:unhideWhenUsed/>
    <w:rsid w:val="00885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5BD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5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5BD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75C39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2B1E10"/>
    <w:rPr>
      <w:sz w:val="18"/>
      <w:szCs w:val="18"/>
    </w:rPr>
  </w:style>
  <w:style w:type="paragraph" w:styleId="a7">
    <w:name w:val="annotation text"/>
    <w:basedOn w:val="a"/>
    <w:link w:val="Char1"/>
    <w:uiPriority w:val="99"/>
    <w:semiHidden/>
    <w:unhideWhenUsed/>
    <w:rsid w:val="002B1E10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2B1E10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2B1E10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2B1E10"/>
    <w:rPr>
      <w:rFonts w:ascii="Times New Roman" w:eastAsia="宋体" w:hAnsi="Times New Roman" w:cs="Times New Roman"/>
      <w:b/>
      <w:bCs/>
      <w:szCs w:val="24"/>
    </w:rPr>
  </w:style>
  <w:style w:type="paragraph" w:styleId="a9">
    <w:name w:val="Revision"/>
    <w:hidden/>
    <w:uiPriority w:val="99"/>
    <w:semiHidden/>
    <w:rsid w:val="002B1E10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C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9B6C7C"/>
    <w:pPr>
      <w:keepNext/>
      <w:jc w:val="center"/>
      <w:outlineLvl w:val="0"/>
    </w:pPr>
    <w:rPr>
      <w:rFonts w:ascii="仿宋_GB2312" w:eastAsia="仿宋_GB2312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B6C7C"/>
    <w:rPr>
      <w:rFonts w:ascii="仿宋_GB2312" w:eastAsia="仿宋_GB2312" w:hAnsi="Times New Roman" w:cs="Times New Roman"/>
      <w:kern w:val="0"/>
      <w:sz w:val="28"/>
      <w:szCs w:val="20"/>
    </w:rPr>
  </w:style>
  <w:style w:type="paragraph" w:styleId="a3">
    <w:name w:val="header"/>
    <w:basedOn w:val="a"/>
    <w:link w:val="Char"/>
    <w:uiPriority w:val="99"/>
    <w:unhideWhenUsed/>
    <w:rsid w:val="00885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5BD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5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5BD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75C39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2B1E10"/>
    <w:rPr>
      <w:sz w:val="18"/>
      <w:szCs w:val="18"/>
    </w:rPr>
  </w:style>
  <w:style w:type="paragraph" w:styleId="a7">
    <w:name w:val="annotation text"/>
    <w:basedOn w:val="a"/>
    <w:link w:val="Char1"/>
    <w:uiPriority w:val="99"/>
    <w:semiHidden/>
    <w:unhideWhenUsed/>
    <w:rsid w:val="002B1E10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2B1E10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2B1E10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2B1E10"/>
    <w:rPr>
      <w:rFonts w:ascii="Times New Roman" w:eastAsia="宋体" w:hAnsi="Times New Roman" w:cs="Times New Roman"/>
      <w:b/>
      <w:bCs/>
      <w:szCs w:val="24"/>
    </w:rPr>
  </w:style>
  <w:style w:type="paragraph" w:styleId="a9">
    <w:name w:val="Revision"/>
    <w:hidden/>
    <w:uiPriority w:val="99"/>
    <w:semiHidden/>
    <w:rsid w:val="002B1E1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CD1DB-E6D4-48B5-9DCF-2F536722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helen</cp:lastModifiedBy>
  <cp:revision>2</cp:revision>
  <dcterms:created xsi:type="dcterms:W3CDTF">2022-05-02T05:34:00Z</dcterms:created>
  <dcterms:modified xsi:type="dcterms:W3CDTF">2022-05-02T05:34:00Z</dcterms:modified>
</cp:coreProperties>
</file>